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noProof/>
        </w:rPr>
        <w:id w:val="-1905603511"/>
        <w:docPartObj>
          <w:docPartGallery w:val="Cover Pages"/>
          <w:docPartUnique/>
        </w:docPartObj>
      </w:sdtPr>
      <w:sdtContent>
        <w:p w14:paraId="0005DB8B" w14:textId="77777777" w:rsidR="00522506" w:rsidRDefault="00522506" w:rsidP="006126E0">
          <w:pPr>
            <w:pStyle w:val="ABNormal"/>
            <w:rPr>
              <w:noProof/>
            </w:rPr>
          </w:pPr>
          <w:r w:rsidRPr="00617E5B">
            <w:rPr>
              <w:noProof/>
            </w:rPr>
            <mc:AlternateContent>
              <mc:Choice Requires="wps">
                <w:drawing>
                  <wp:anchor distT="0" distB="0" distL="114300" distR="114300" simplePos="0" relativeHeight="251658242" behindDoc="1" locked="0" layoutInCell="1" allowOverlap="1" wp14:anchorId="0FD79836" wp14:editId="5CF71167">
                    <wp:simplePos x="0" y="0"/>
                    <wp:positionH relativeFrom="column">
                      <wp:posOffset>-598170</wp:posOffset>
                    </wp:positionH>
                    <wp:positionV relativeFrom="paragraph">
                      <wp:posOffset>5172075</wp:posOffset>
                    </wp:positionV>
                    <wp:extent cx="2854325" cy="4439920"/>
                    <wp:effectExtent l="0" t="0" r="3175" b="0"/>
                    <wp:wrapNone/>
                    <wp:docPr id="20" name="Freeform 157"/>
                    <wp:cNvGraphicFramePr/>
                    <a:graphic xmlns:a="http://schemas.openxmlformats.org/drawingml/2006/main">
                      <a:graphicData uri="http://schemas.microsoft.com/office/word/2010/wordprocessingShape">
                        <wps:wsp>
                          <wps:cNvSpPr/>
                          <wps:spPr bwMode="gray">
                            <a:xfrm flipH="1">
                              <a:off x="0" y="0"/>
                              <a:ext cx="2854325" cy="4439920"/>
                            </a:xfrm>
                            <a:custGeom>
                              <a:avLst/>
                              <a:gdLst>
                                <a:gd name="connsiteX0" fmla="*/ 2854568 w 2854568"/>
                                <a:gd name="connsiteY0" fmla="*/ 0 h 4440073"/>
                                <a:gd name="connsiteX1" fmla="*/ 0 w 2854568"/>
                                <a:gd name="connsiteY1" fmla="*/ 4440073 h 4440073"/>
                                <a:gd name="connsiteX2" fmla="*/ 2854568 w 2854568"/>
                                <a:gd name="connsiteY2" fmla="*/ 4440073 h 4440073"/>
                              </a:gdLst>
                              <a:ahLst/>
                              <a:cxnLst>
                                <a:cxn ang="0">
                                  <a:pos x="connsiteX0" y="connsiteY0"/>
                                </a:cxn>
                                <a:cxn ang="0">
                                  <a:pos x="connsiteX1" y="connsiteY1"/>
                                </a:cxn>
                                <a:cxn ang="0">
                                  <a:pos x="connsiteX2" y="connsiteY2"/>
                                </a:cxn>
                              </a:cxnLst>
                              <a:rect l="l" t="t" r="r" b="b"/>
                              <a:pathLst>
                                <a:path w="2854568" h="4440073">
                                  <a:moveTo>
                                    <a:pt x="2854568" y="0"/>
                                  </a:moveTo>
                                  <a:lnTo>
                                    <a:pt x="0" y="4440073"/>
                                  </a:lnTo>
                                  <a:lnTo>
                                    <a:pt x="2854568" y="4440073"/>
                                  </a:lnTo>
                                  <a:close/>
                                </a:path>
                              </a:pathLst>
                            </a:custGeom>
                            <a:solidFill>
                              <a:schemeClr val="bg2"/>
                            </a:solidFill>
                            <a:ln w="19050">
                              <a:noFill/>
                              <a:miter lim="800000"/>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16="http://schemas.microsoft.com/office/drawing/2014/main" xmlns:asvg="http://schemas.microsoft.com/office/drawing/2016/SVG/main" xmlns:pic="http://schemas.openxmlformats.org/drawingml/2006/picture" xmlns:a="http://schemas.openxmlformats.org/drawingml/2006/main">
                <w:pict w14:anchorId="60A10788">
                  <v:shape id="Freeform 157" style="position:absolute;margin-left:-47.1pt;margin-top:407.25pt;width:224.75pt;height:349.6pt;flip:x;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2854568,4440073" o:spid="_x0000_s1026" fillcolor="#e5e5e5 [3214]" stroked="f" strokeweight="1.5pt" o:bwmode="grayScale" path="m2854568,l,4440073r2854568,l285456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" w14:anchorId="41600FAE">
                    <v:stroke joinstyle="miter"/>
                    <v:path arrowok="t" o:connecttype="custom" o:connectlocs="2854325,0;0,4439920;2854325,4439920" o:connectangles="0,0,0"/>
                  </v:shape>
                </w:pict>
              </mc:Fallback>
            </mc:AlternateContent>
          </w:r>
          <w:r w:rsidRPr="00617E5B">
            <w:rPr>
              <w:noProof/>
            </w:rPr>
            <mc:AlternateContent>
              <mc:Choice Requires="wps">
                <w:drawing>
                  <wp:anchor distT="0" distB="0" distL="114300" distR="114300" simplePos="0" relativeHeight="251658241" behindDoc="1" locked="0" layoutInCell="1" allowOverlap="1" wp14:anchorId="0D6388B1" wp14:editId="3E7FB3D6">
                    <wp:simplePos x="0" y="0"/>
                    <wp:positionH relativeFrom="column">
                      <wp:posOffset>3203575</wp:posOffset>
                    </wp:positionH>
                    <wp:positionV relativeFrom="paragraph">
                      <wp:posOffset>-445770</wp:posOffset>
                    </wp:positionV>
                    <wp:extent cx="3970020" cy="6174740"/>
                    <wp:effectExtent l="0" t="0" r="0" b="0"/>
                    <wp:wrapNone/>
                    <wp:docPr id="25" name="Freeform 155"/>
                    <wp:cNvGraphicFramePr/>
                    <a:graphic xmlns:a="http://schemas.openxmlformats.org/drawingml/2006/main">
                      <a:graphicData uri="http://schemas.microsoft.com/office/word/2010/wordprocessingShape">
                        <wps:wsp>
                          <wps:cNvSpPr/>
                          <wps:spPr bwMode="gray">
                            <a:xfrm flipH="1">
                              <a:off x="0" y="0"/>
                              <a:ext cx="3970020" cy="6174740"/>
                            </a:xfrm>
                            <a:custGeom>
                              <a:avLst/>
                              <a:gdLst>
                                <a:gd name="connsiteX0" fmla="*/ 3970168 w 3970168"/>
                                <a:gd name="connsiteY0" fmla="*/ 0 h 6175310"/>
                                <a:gd name="connsiteX1" fmla="*/ 0 w 3970168"/>
                                <a:gd name="connsiteY1" fmla="*/ 0 h 6175310"/>
                                <a:gd name="connsiteX2" fmla="*/ 0 w 3970168"/>
                                <a:gd name="connsiteY2" fmla="*/ 6175310 h 6175310"/>
                              </a:gdLst>
                              <a:ahLst/>
                              <a:cxnLst>
                                <a:cxn ang="0">
                                  <a:pos x="connsiteX0" y="connsiteY0"/>
                                </a:cxn>
                                <a:cxn ang="0">
                                  <a:pos x="connsiteX1" y="connsiteY1"/>
                                </a:cxn>
                                <a:cxn ang="0">
                                  <a:pos x="connsiteX2" y="connsiteY2"/>
                                </a:cxn>
                              </a:cxnLst>
                              <a:rect l="l" t="t" r="r" b="b"/>
                              <a:pathLst>
                                <a:path w="3970168" h="6175310">
                                  <a:moveTo>
                                    <a:pt x="3970168" y="0"/>
                                  </a:moveTo>
                                  <a:lnTo>
                                    <a:pt x="0" y="0"/>
                                  </a:lnTo>
                                  <a:lnTo>
                                    <a:pt x="0" y="6175310"/>
                                  </a:lnTo>
                                  <a:close/>
                                </a:path>
                              </a:pathLst>
                            </a:custGeom>
                            <a:solidFill>
                              <a:schemeClr val="bg2"/>
                            </a:solidFill>
                            <a:ln w="19050">
                              <a:noFill/>
                              <a:miter lim="800000"/>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16="http://schemas.microsoft.com/office/drawing/2014/main" xmlns:asvg="http://schemas.microsoft.com/office/drawing/2016/SVG/main" xmlns:pic="http://schemas.openxmlformats.org/drawingml/2006/picture" xmlns:a="http://schemas.openxmlformats.org/drawingml/2006/main">
                <w:pict w14:anchorId="46B20774">
                  <v:shape id="Freeform 155" style="position:absolute;margin-left:252.25pt;margin-top:-35.1pt;width:312.6pt;height:486.2pt;flip:x;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3970168,6175310" o:spid="_x0000_s1026" fillcolor="#e5e5e5 [3214]" stroked="f" strokeweight="1.5pt" o:bwmode="grayScale" path="m3970168,l,,,6175310,397016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" w14:anchorId="18026709">
                    <v:stroke joinstyle="miter"/>
                    <v:path arrowok="t" o:connecttype="custom" o:connectlocs="3970020,0;0,0;0,6174740" o:connectangles="0,0,0"/>
                  </v:shape>
                </w:pict>
              </mc:Fallback>
            </mc:AlternateContent>
          </w:r>
        </w:p>
        <w:tbl>
          <w:tblPr>
            <w:tblpPr w:leftFromText="187" w:rightFromText="187" w:topFromText="1440" w:vertAnchor="page" w:horzAnchor="page" w:tblpXSpec="center" w:tblpY="2233"/>
            <w:tblOverlap w:val="never"/>
            <w:tblW w:w="9990" w:type="dxa"/>
            <w:tblLayout w:type="fixed"/>
            <w:tblCellMar>
              <w:left w:w="0" w:type="dxa"/>
              <w:right w:w="0" w:type="dxa"/>
            </w:tblCellMar>
            <w:tblLook w:val="04A0" w:firstRow="1" w:lastRow="0" w:firstColumn="1" w:lastColumn="0" w:noHBand="0" w:noVBand="1"/>
          </w:tblPr>
          <w:tblGrid>
            <w:gridCol w:w="778"/>
            <w:gridCol w:w="6912"/>
            <w:gridCol w:w="2300"/>
          </w:tblGrid>
          <w:tr w:rsidR="00522506" w14:paraId="2CBAD6BD" w14:textId="77777777" w:rsidTr="006126E0">
            <w:trPr>
              <w:trHeight w:val="1037"/>
            </w:trPr>
            <w:tc>
              <w:tcPr>
                <w:tcW w:w="9990" w:type="dxa"/>
                <w:gridSpan w:val="3"/>
                <w:tcBorders>
                  <w:bottom w:val="single" w:sz="8" w:space="0" w:color="323E48" w:themeColor="text1"/>
                </w:tcBorders>
              </w:tcPr>
              <w:p w14:paraId="7BC41732" w14:textId="77777777" w:rsidR="00522506" w:rsidRDefault="00522506" w:rsidP="006126E0">
                <w:pPr>
                  <w:pStyle w:val="ABNormal"/>
                  <w:rPr>
                    <w:noProof/>
                  </w:rPr>
                </w:pPr>
                <w:r>
                  <w:rPr>
                    <w:noProof/>
                  </w:rPr>
                  <w:drawing>
                    <wp:inline distT="0" distB="0" distL="0" distR="0" wp14:anchorId="4422E1CC" wp14:editId="093D2CC6">
                      <wp:extent cx="1569111" cy="434444"/>
                      <wp:effectExtent l="0" t="0" r="0" b="3810"/>
                      <wp:docPr id="14" name="Graphic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b-logo.svg"/>
                              <pic:cNvPicPr/>
                            </pic:nvPicPr>
                            <pic:blipFill>
                              <a:blip r:embed="rId11">
                                <a:extLst>
                                  <a:ext uri="{96DAC541-7B7A-43D3-8B79-37D633B846F1}">
                                    <asvg:svgBlip xmlns:asvg="http://schemas.microsoft.com/office/drawing/2016/SVG/main" r:embed="rId12"/>
                                  </a:ext>
                                </a:extLst>
                              </a:blip>
                              <a:stretch>
                                <a:fillRect/>
                              </a:stretch>
                            </pic:blipFill>
                            <pic:spPr>
                              <a:xfrm>
                                <a:off x="0" y="0"/>
                                <a:ext cx="1601766" cy="443485"/>
                              </a:xfrm>
                              <a:prstGeom prst="rect">
                                <a:avLst/>
                              </a:prstGeom>
                            </pic:spPr>
                          </pic:pic>
                        </a:graphicData>
                      </a:graphic>
                    </wp:inline>
                  </w:drawing>
                </w:r>
              </w:p>
            </w:tc>
          </w:tr>
          <w:tr w:rsidR="00522506" w14:paraId="4E4182B0" w14:textId="77777777" w:rsidTr="006126E0">
            <w:trPr>
              <w:trHeight w:val="293"/>
            </w:trPr>
            <w:tc>
              <w:tcPr>
                <w:tcW w:w="9990" w:type="dxa"/>
                <w:gridSpan w:val="3"/>
                <w:tcBorders>
                  <w:top w:val="single" w:sz="8" w:space="0" w:color="323E48" w:themeColor="text1"/>
                </w:tcBorders>
                <w:vAlign w:val="bottom"/>
              </w:tcPr>
              <w:p w14:paraId="16CCEA34" w14:textId="69913623" w:rsidR="00522506" w:rsidRPr="00617E5B" w:rsidRDefault="00522506" w:rsidP="006126E0">
                <w:pPr>
                  <w:pStyle w:val="ABNormal"/>
                  <w:rPr>
                    <w:noProof/>
                    <w:color w:val="70787E" w:themeColor="accent3"/>
                    <w:sz w:val="18"/>
                    <w:szCs w:val="18"/>
                  </w:rPr>
                </w:pPr>
              </w:p>
            </w:tc>
          </w:tr>
          <w:tr w:rsidR="00522506" w14:paraId="36AE01E1" w14:textId="77777777" w:rsidTr="006126E0">
            <w:trPr>
              <w:trHeight w:val="3597"/>
            </w:trPr>
            <w:tc>
              <w:tcPr>
                <w:tcW w:w="778" w:type="dxa"/>
                <w:vAlign w:val="bottom"/>
              </w:tcPr>
              <w:p w14:paraId="423F83D0" w14:textId="77777777" w:rsidR="00522506" w:rsidRDefault="00522506" w:rsidP="006126E0">
                <w:pPr>
                  <w:pStyle w:val="ABNormal"/>
                  <w:rPr>
                    <w:noProof/>
                  </w:rPr>
                </w:pPr>
              </w:p>
            </w:tc>
            <w:tc>
              <w:tcPr>
                <w:tcW w:w="6912" w:type="dxa"/>
                <w:vAlign w:val="bottom"/>
              </w:tcPr>
              <w:p w14:paraId="79265271" w14:textId="18E6B190" w:rsidR="0067771D" w:rsidRPr="008747B5" w:rsidRDefault="0067771D" w:rsidP="0067771D">
                <w:pPr>
                  <w:pStyle w:val="ABNormal"/>
                  <w:rPr>
                    <w:rFonts w:asciiTheme="majorHAnsi" w:hAnsiTheme="majorHAnsi" w:cstheme="majorHAnsi"/>
                    <w:noProof/>
                    <w:color w:val="222A30" w:themeColor="accent5"/>
                    <w:sz w:val="28"/>
                    <w:szCs w:val="28"/>
                  </w:rPr>
                </w:pPr>
                <w:r w:rsidRPr="008747B5">
                  <w:rPr>
                    <w:rFonts w:asciiTheme="majorHAnsi" w:hAnsiTheme="majorHAnsi" w:cstheme="majorHAnsi"/>
                    <w:noProof/>
                    <w:color w:val="222A30" w:themeColor="accent5"/>
                    <w:sz w:val="28"/>
                    <w:szCs w:val="28"/>
                  </w:rPr>
                  <w:t>Tool 1</w:t>
                </w:r>
                <w:r>
                  <w:rPr>
                    <w:rFonts w:asciiTheme="majorHAnsi" w:hAnsiTheme="majorHAnsi" w:cstheme="majorHAnsi"/>
                    <w:noProof/>
                    <w:color w:val="222A30" w:themeColor="accent5"/>
                    <w:sz w:val="28"/>
                    <w:szCs w:val="28"/>
                  </w:rPr>
                  <w:t>5</w:t>
                </w:r>
                <w:r w:rsidRPr="008747B5">
                  <w:rPr>
                    <w:rFonts w:asciiTheme="majorHAnsi" w:hAnsiTheme="majorHAnsi" w:cstheme="majorHAnsi"/>
                    <w:noProof/>
                    <w:color w:val="222A30" w:themeColor="accent5"/>
                    <w:sz w:val="28"/>
                    <w:szCs w:val="28"/>
                  </w:rPr>
                  <w:t xml:space="preserve">: </w:t>
                </w:r>
              </w:p>
              <w:p w14:paraId="19B08F4B" w14:textId="21FFC5F9" w:rsidR="00522506" w:rsidRPr="00617E5B" w:rsidRDefault="00557EE4" w:rsidP="006126E0">
                <w:pPr>
                  <w:pStyle w:val="ABNormal"/>
                  <w:rPr>
                    <w:rFonts w:asciiTheme="majorHAnsi" w:hAnsiTheme="majorHAnsi" w:cstheme="majorHAnsi"/>
                    <w:noProof/>
                    <w:color w:val="222A30" w:themeColor="accent5"/>
                    <w:sz w:val="64"/>
                    <w:szCs w:val="64"/>
                  </w:rPr>
                </w:pPr>
                <w:r w:rsidRPr="00557EE4">
                  <w:rPr>
                    <w:rFonts w:asciiTheme="majorHAnsi" w:hAnsiTheme="majorHAnsi" w:cstheme="majorHAnsi"/>
                    <w:noProof/>
                    <w:color w:val="222A30" w:themeColor="accent5"/>
                    <w:sz w:val="64"/>
                    <w:szCs w:val="64"/>
                  </w:rPr>
                  <w:t xml:space="preserve">Sustainable </w:t>
                </w:r>
                <w:r>
                  <w:rPr>
                    <w:rFonts w:asciiTheme="majorHAnsi" w:hAnsiTheme="majorHAnsi" w:cstheme="majorHAnsi"/>
                    <w:noProof/>
                    <w:color w:val="222A30" w:themeColor="accent5"/>
                    <w:sz w:val="64"/>
                    <w:szCs w:val="64"/>
                  </w:rPr>
                  <w:t>c</w:t>
                </w:r>
                <w:r w:rsidRPr="00557EE4">
                  <w:rPr>
                    <w:rFonts w:asciiTheme="majorHAnsi" w:hAnsiTheme="majorHAnsi" w:cstheme="majorHAnsi"/>
                    <w:noProof/>
                    <w:color w:val="222A30" w:themeColor="accent5"/>
                    <w:sz w:val="64"/>
                    <w:szCs w:val="64"/>
                  </w:rPr>
                  <w:t>ommunity-</w:t>
                </w:r>
                <w:r>
                  <w:rPr>
                    <w:rFonts w:asciiTheme="majorHAnsi" w:hAnsiTheme="majorHAnsi" w:cstheme="majorHAnsi"/>
                    <w:noProof/>
                    <w:color w:val="222A30" w:themeColor="accent5"/>
                    <w:sz w:val="64"/>
                    <w:szCs w:val="64"/>
                  </w:rPr>
                  <w:t>i</w:t>
                </w:r>
                <w:r w:rsidRPr="00557EE4">
                  <w:rPr>
                    <w:rFonts w:asciiTheme="majorHAnsi" w:hAnsiTheme="majorHAnsi" w:cstheme="majorHAnsi"/>
                    <w:noProof/>
                    <w:color w:val="222A30" w:themeColor="accent5"/>
                    <w:sz w:val="64"/>
                    <w:szCs w:val="64"/>
                  </w:rPr>
                  <w:t xml:space="preserve">nformed </w:t>
                </w:r>
                <w:r>
                  <w:rPr>
                    <w:rFonts w:asciiTheme="majorHAnsi" w:hAnsiTheme="majorHAnsi" w:cstheme="majorHAnsi"/>
                    <w:noProof/>
                    <w:color w:val="222A30" w:themeColor="accent5"/>
                    <w:sz w:val="64"/>
                    <w:szCs w:val="64"/>
                  </w:rPr>
                  <w:t>h</w:t>
                </w:r>
                <w:r w:rsidRPr="00557EE4">
                  <w:rPr>
                    <w:rFonts w:asciiTheme="majorHAnsi" w:hAnsiTheme="majorHAnsi" w:cstheme="majorHAnsi"/>
                    <w:noProof/>
                    <w:color w:val="222A30" w:themeColor="accent5"/>
                    <w:sz w:val="64"/>
                    <w:szCs w:val="64"/>
                  </w:rPr>
                  <w:t>ealth</w:t>
                </w:r>
                <w:r>
                  <w:rPr>
                    <w:rFonts w:asciiTheme="majorHAnsi" w:hAnsiTheme="majorHAnsi" w:cstheme="majorHAnsi"/>
                    <w:noProof/>
                    <w:color w:val="222A30" w:themeColor="accent5"/>
                    <w:sz w:val="64"/>
                    <w:szCs w:val="64"/>
                  </w:rPr>
                  <w:t>c</w:t>
                </w:r>
                <w:r w:rsidRPr="00557EE4">
                  <w:rPr>
                    <w:rFonts w:asciiTheme="majorHAnsi" w:hAnsiTheme="majorHAnsi" w:cstheme="majorHAnsi"/>
                    <w:noProof/>
                    <w:color w:val="222A30" w:themeColor="accent5"/>
                    <w:sz w:val="64"/>
                    <w:szCs w:val="64"/>
                  </w:rPr>
                  <w:t>are</w:t>
                </w:r>
              </w:p>
            </w:tc>
            <w:tc>
              <w:tcPr>
                <w:tcW w:w="2300" w:type="dxa"/>
                <w:vAlign w:val="bottom"/>
              </w:tcPr>
              <w:p w14:paraId="2575E3B9" w14:textId="77777777" w:rsidR="00522506" w:rsidRDefault="00522506" w:rsidP="006126E0">
                <w:pPr>
                  <w:pStyle w:val="ABNormal"/>
                  <w:rPr>
                    <w:noProof/>
                  </w:rPr>
                </w:pPr>
              </w:p>
            </w:tc>
          </w:tr>
          <w:tr w:rsidR="00522506" w14:paraId="5F79A346" w14:textId="77777777" w:rsidTr="006126E0">
            <w:trPr>
              <w:trHeight w:val="357"/>
            </w:trPr>
            <w:tc>
              <w:tcPr>
                <w:tcW w:w="778" w:type="dxa"/>
              </w:tcPr>
              <w:p w14:paraId="4C8AEE21" w14:textId="77777777" w:rsidR="00522506" w:rsidRDefault="00522506" w:rsidP="006126E0">
                <w:pPr>
                  <w:pStyle w:val="ABNormal"/>
                  <w:rPr>
                    <w:noProof/>
                  </w:rPr>
                </w:pPr>
              </w:p>
            </w:tc>
            <w:tc>
              <w:tcPr>
                <w:tcW w:w="6912" w:type="dxa"/>
              </w:tcPr>
              <w:p w14:paraId="08DE3638" w14:textId="77777777" w:rsidR="00522506" w:rsidRDefault="00522506" w:rsidP="006126E0">
                <w:pPr>
                  <w:pStyle w:val="ABNormal"/>
                  <w:rPr>
                    <w:noProof/>
                  </w:rPr>
                </w:pPr>
              </w:p>
            </w:tc>
            <w:tc>
              <w:tcPr>
                <w:tcW w:w="2300" w:type="dxa"/>
              </w:tcPr>
              <w:p w14:paraId="4FD2A7BB" w14:textId="77777777" w:rsidR="00522506" w:rsidRDefault="00522506" w:rsidP="006126E0">
                <w:pPr>
                  <w:pStyle w:val="ABNormal"/>
                  <w:rPr>
                    <w:noProof/>
                  </w:rPr>
                </w:pPr>
              </w:p>
            </w:tc>
          </w:tr>
          <w:tr w:rsidR="00522506" w14:paraId="15FE4CB8" w14:textId="77777777" w:rsidTr="006126E0">
            <w:trPr>
              <w:trHeight w:val="897"/>
            </w:trPr>
            <w:tc>
              <w:tcPr>
                <w:tcW w:w="778" w:type="dxa"/>
              </w:tcPr>
              <w:p w14:paraId="58799550" w14:textId="77777777" w:rsidR="00522506" w:rsidRDefault="00522506" w:rsidP="006126E0">
                <w:pPr>
                  <w:pStyle w:val="ABNormal"/>
                  <w:rPr>
                    <w:noProof/>
                  </w:rPr>
                </w:pPr>
              </w:p>
            </w:tc>
            <w:tc>
              <w:tcPr>
                <w:tcW w:w="6912" w:type="dxa"/>
              </w:tcPr>
              <w:p w14:paraId="07A413C7" w14:textId="25FC2471" w:rsidR="00522506" w:rsidRPr="00617E5B" w:rsidRDefault="00557EE4" w:rsidP="00B554F7">
                <w:pPr>
                  <w:pStyle w:val="ABNormal"/>
                  <w:rPr>
                    <w:rFonts w:asciiTheme="majorHAnsi" w:hAnsiTheme="majorHAnsi" w:cstheme="majorHAnsi"/>
                    <w:noProof/>
                    <w:sz w:val="28"/>
                    <w:szCs w:val="28"/>
                  </w:rPr>
                </w:pPr>
                <w:r w:rsidRPr="00557EE4">
                  <w:rPr>
                    <w:rFonts w:asciiTheme="majorHAnsi" w:hAnsiTheme="majorHAnsi" w:cstheme="majorHAnsi"/>
                    <w:noProof/>
                    <w:sz w:val="28"/>
                    <w:szCs w:val="28"/>
                  </w:rPr>
                  <w:t xml:space="preserve">Leveraging </w:t>
                </w:r>
                <w:r>
                  <w:rPr>
                    <w:rFonts w:asciiTheme="majorHAnsi" w:hAnsiTheme="majorHAnsi" w:cstheme="majorHAnsi"/>
                    <w:noProof/>
                    <w:sz w:val="28"/>
                    <w:szCs w:val="28"/>
                  </w:rPr>
                  <w:t>v</w:t>
                </w:r>
                <w:r w:rsidRPr="00557EE4">
                  <w:rPr>
                    <w:rFonts w:asciiTheme="majorHAnsi" w:hAnsiTheme="majorHAnsi" w:cstheme="majorHAnsi"/>
                    <w:noProof/>
                    <w:sz w:val="28"/>
                    <w:szCs w:val="28"/>
                  </w:rPr>
                  <w:t>alue-</w:t>
                </w:r>
                <w:r>
                  <w:rPr>
                    <w:rFonts w:asciiTheme="majorHAnsi" w:hAnsiTheme="majorHAnsi" w:cstheme="majorHAnsi"/>
                    <w:noProof/>
                    <w:sz w:val="28"/>
                    <w:szCs w:val="28"/>
                  </w:rPr>
                  <w:t>b</w:t>
                </w:r>
                <w:r w:rsidRPr="00557EE4">
                  <w:rPr>
                    <w:rFonts w:asciiTheme="majorHAnsi" w:hAnsiTheme="majorHAnsi" w:cstheme="majorHAnsi"/>
                    <w:noProof/>
                    <w:sz w:val="28"/>
                    <w:szCs w:val="28"/>
                  </w:rPr>
                  <w:t xml:space="preserve">ased </w:t>
                </w:r>
                <w:r>
                  <w:rPr>
                    <w:rFonts w:asciiTheme="majorHAnsi" w:hAnsiTheme="majorHAnsi" w:cstheme="majorHAnsi"/>
                    <w:noProof/>
                    <w:sz w:val="28"/>
                    <w:szCs w:val="28"/>
                  </w:rPr>
                  <w:t>c</w:t>
                </w:r>
                <w:r w:rsidRPr="00557EE4">
                  <w:rPr>
                    <w:rFonts w:asciiTheme="majorHAnsi" w:hAnsiTheme="majorHAnsi" w:cstheme="majorHAnsi"/>
                    <w:noProof/>
                    <w:sz w:val="28"/>
                    <w:szCs w:val="28"/>
                  </w:rPr>
                  <w:t xml:space="preserve">are to </w:t>
                </w:r>
                <w:r>
                  <w:rPr>
                    <w:rFonts w:asciiTheme="majorHAnsi" w:hAnsiTheme="majorHAnsi" w:cstheme="majorHAnsi"/>
                    <w:noProof/>
                    <w:sz w:val="28"/>
                    <w:szCs w:val="28"/>
                  </w:rPr>
                  <w:t>i</w:t>
                </w:r>
                <w:r w:rsidRPr="00557EE4">
                  <w:rPr>
                    <w:rFonts w:asciiTheme="majorHAnsi" w:hAnsiTheme="majorHAnsi" w:cstheme="majorHAnsi"/>
                    <w:noProof/>
                    <w:sz w:val="28"/>
                    <w:szCs w:val="28"/>
                  </w:rPr>
                  <w:t xml:space="preserve">ncrease </w:t>
                </w:r>
                <w:r w:rsidR="00D564D7">
                  <w:rPr>
                    <w:rFonts w:asciiTheme="majorHAnsi" w:hAnsiTheme="majorHAnsi" w:cstheme="majorHAnsi"/>
                    <w:noProof/>
                    <w:sz w:val="28"/>
                    <w:szCs w:val="28"/>
                  </w:rPr>
                  <w:t xml:space="preserve">the </w:t>
                </w:r>
                <w:r>
                  <w:rPr>
                    <w:rFonts w:asciiTheme="majorHAnsi" w:hAnsiTheme="majorHAnsi" w:cstheme="majorHAnsi"/>
                    <w:noProof/>
                    <w:sz w:val="28"/>
                    <w:szCs w:val="28"/>
                  </w:rPr>
                  <w:t>s</w:t>
                </w:r>
                <w:r w:rsidRPr="00557EE4">
                  <w:rPr>
                    <w:rFonts w:asciiTheme="majorHAnsi" w:hAnsiTheme="majorHAnsi" w:cstheme="majorHAnsi"/>
                    <w:noProof/>
                    <w:sz w:val="28"/>
                    <w:szCs w:val="28"/>
                  </w:rPr>
                  <w:t xml:space="preserve">ustainability </w:t>
                </w:r>
                <w:r w:rsidR="003A262D">
                  <w:rPr>
                    <w:rFonts w:asciiTheme="majorHAnsi" w:hAnsiTheme="majorHAnsi" w:cstheme="majorHAnsi"/>
                    <w:noProof/>
                    <w:sz w:val="28"/>
                    <w:szCs w:val="28"/>
                  </w:rPr>
                  <w:br/>
                </w:r>
                <w:r w:rsidRPr="00557EE4">
                  <w:rPr>
                    <w:rFonts w:asciiTheme="majorHAnsi" w:hAnsiTheme="majorHAnsi" w:cstheme="majorHAnsi"/>
                    <w:noProof/>
                    <w:sz w:val="28"/>
                    <w:szCs w:val="28"/>
                  </w:rPr>
                  <w:t xml:space="preserve">of </w:t>
                </w:r>
                <w:r>
                  <w:rPr>
                    <w:rFonts w:asciiTheme="majorHAnsi" w:hAnsiTheme="majorHAnsi" w:cstheme="majorHAnsi"/>
                    <w:noProof/>
                    <w:sz w:val="28"/>
                    <w:szCs w:val="28"/>
                  </w:rPr>
                  <w:t>c</w:t>
                </w:r>
                <w:r w:rsidRPr="00557EE4">
                  <w:rPr>
                    <w:rFonts w:asciiTheme="majorHAnsi" w:hAnsiTheme="majorHAnsi" w:cstheme="majorHAnsi"/>
                    <w:noProof/>
                    <w:sz w:val="28"/>
                    <w:szCs w:val="28"/>
                  </w:rPr>
                  <w:t>ommunity-</w:t>
                </w:r>
                <w:r>
                  <w:rPr>
                    <w:rFonts w:asciiTheme="majorHAnsi" w:hAnsiTheme="majorHAnsi" w:cstheme="majorHAnsi"/>
                    <w:noProof/>
                    <w:sz w:val="28"/>
                    <w:szCs w:val="28"/>
                  </w:rPr>
                  <w:t>l</w:t>
                </w:r>
                <w:r w:rsidRPr="00557EE4">
                  <w:rPr>
                    <w:rFonts w:asciiTheme="majorHAnsi" w:hAnsiTheme="majorHAnsi" w:cstheme="majorHAnsi"/>
                    <w:noProof/>
                    <w:sz w:val="28"/>
                    <w:szCs w:val="28"/>
                  </w:rPr>
                  <w:t xml:space="preserve">ed </w:t>
                </w:r>
                <w:r>
                  <w:rPr>
                    <w:rFonts w:asciiTheme="majorHAnsi" w:hAnsiTheme="majorHAnsi" w:cstheme="majorHAnsi"/>
                    <w:noProof/>
                    <w:sz w:val="28"/>
                    <w:szCs w:val="28"/>
                  </w:rPr>
                  <w:t>h</w:t>
                </w:r>
                <w:r w:rsidRPr="00557EE4">
                  <w:rPr>
                    <w:rFonts w:asciiTheme="majorHAnsi" w:hAnsiTheme="majorHAnsi" w:cstheme="majorHAnsi"/>
                    <w:noProof/>
                    <w:sz w:val="28"/>
                    <w:szCs w:val="28"/>
                  </w:rPr>
                  <w:t xml:space="preserve">ealth </w:t>
                </w:r>
                <w:r>
                  <w:rPr>
                    <w:rFonts w:asciiTheme="majorHAnsi" w:hAnsiTheme="majorHAnsi" w:cstheme="majorHAnsi"/>
                    <w:noProof/>
                    <w:sz w:val="28"/>
                    <w:szCs w:val="28"/>
                  </w:rPr>
                  <w:t>i</w:t>
                </w:r>
                <w:r w:rsidRPr="00557EE4">
                  <w:rPr>
                    <w:rFonts w:asciiTheme="majorHAnsi" w:hAnsiTheme="majorHAnsi" w:cstheme="majorHAnsi"/>
                    <w:noProof/>
                    <w:sz w:val="28"/>
                    <w:szCs w:val="28"/>
                  </w:rPr>
                  <w:t>nitiatives</w:t>
                </w:r>
              </w:p>
            </w:tc>
            <w:tc>
              <w:tcPr>
                <w:tcW w:w="2300" w:type="dxa"/>
              </w:tcPr>
              <w:p w14:paraId="3C975E02" w14:textId="77777777" w:rsidR="00522506" w:rsidRDefault="00522506" w:rsidP="006126E0">
                <w:pPr>
                  <w:pStyle w:val="ABNormal"/>
                  <w:rPr>
                    <w:noProof/>
                  </w:rPr>
                </w:pPr>
              </w:p>
            </w:tc>
          </w:tr>
          <w:tr w:rsidR="00522506" w14:paraId="65A0D6D0" w14:textId="77777777" w:rsidTr="006126E0">
            <w:trPr>
              <w:trHeight w:val="5865"/>
            </w:trPr>
            <w:tc>
              <w:tcPr>
                <w:tcW w:w="778" w:type="dxa"/>
              </w:tcPr>
              <w:p w14:paraId="57D1E816" w14:textId="77777777" w:rsidR="00522506" w:rsidRPr="00617E5B" w:rsidRDefault="00522506" w:rsidP="006126E0">
                <w:pPr>
                  <w:pStyle w:val="ABNormal"/>
                  <w:rPr>
                    <w:noProof/>
                    <w:sz w:val="18"/>
                    <w:szCs w:val="18"/>
                  </w:rPr>
                </w:pPr>
              </w:p>
            </w:tc>
            <w:tc>
              <w:tcPr>
                <w:tcW w:w="6912" w:type="dxa"/>
              </w:tcPr>
              <w:p w14:paraId="2AC18B81" w14:textId="35E13DE3" w:rsidR="00522506" w:rsidRPr="00617E5B" w:rsidRDefault="000F36B0" w:rsidP="006126E0">
                <w:pPr>
                  <w:pStyle w:val="ABNormal"/>
                  <w:rPr>
                    <w:noProof/>
                    <w:sz w:val="18"/>
                    <w:szCs w:val="18"/>
                  </w:rPr>
                </w:pPr>
                <w:r w:rsidRPr="00022314">
                  <w:rPr>
                    <w:noProof/>
                    <w:sz w:val="18"/>
                    <w:szCs w:val="18"/>
                  </w:rPr>
                  <mc:AlternateContent>
                    <mc:Choice Requires="wpg">
                      <w:drawing>
                        <wp:anchor distT="0" distB="0" distL="114300" distR="114300" simplePos="0" relativeHeight="251658243" behindDoc="0" locked="0" layoutInCell="1" allowOverlap="1" wp14:anchorId="0DB36549" wp14:editId="57D6EDBA">
                          <wp:simplePos x="0" y="0"/>
                          <wp:positionH relativeFrom="column">
                            <wp:posOffset>2078480</wp:posOffset>
                          </wp:positionH>
                          <wp:positionV relativeFrom="paragraph">
                            <wp:posOffset>3425807</wp:posOffset>
                          </wp:positionV>
                          <wp:extent cx="2357846" cy="452161"/>
                          <wp:effectExtent l="0" t="0" r="4445" b="5080"/>
                          <wp:wrapNone/>
                          <wp:docPr id="6" name="Group 5">
                            <a:extLst xmlns:a="http://schemas.openxmlformats.org/drawingml/2006/main">
                              <a:ext uri="{FF2B5EF4-FFF2-40B4-BE49-F238E27FC236}">
                                <a16:creationId xmlns:a16="http://schemas.microsoft.com/office/drawing/2014/main" id="{B95169AE-AE4E-3B69-06AA-F58EF56B3FA5}"/>
                              </a:ext>
                            </a:extLst>
                          </wp:docPr>
                          <wp:cNvGraphicFramePr/>
                          <a:graphic xmlns:a="http://schemas.openxmlformats.org/drawingml/2006/main">
                            <a:graphicData uri="http://schemas.microsoft.com/office/word/2010/wordprocessingGroup">
                              <wpg:wgp>
                                <wpg:cNvGrpSpPr/>
                                <wpg:grpSpPr>
                                  <a:xfrm>
                                    <a:off x="0" y="0"/>
                                    <a:ext cx="2357846" cy="452161"/>
                                    <a:chOff x="0" y="0"/>
                                    <a:chExt cx="2357846" cy="452161"/>
                                  </a:xfrm>
                                </wpg:grpSpPr>
                                <wps:wsp>
                                  <wps:cNvPr id="1316154033" name="Audience label">
                                    <a:extLst>
                                      <a:ext uri="{FF2B5EF4-FFF2-40B4-BE49-F238E27FC236}">
                                        <a16:creationId xmlns:a16="http://schemas.microsoft.com/office/drawing/2014/main" id="{9FCB9CF3-EE38-C617-13F1-980B31CACE1E}"/>
                                      </a:ext>
                                    </a:extLst>
                                  </wps:cNvPr>
                                  <wps:cNvSpPr txBox="1"/>
                                  <wps:spPr bwMode="gray">
                                    <a:xfrm>
                                      <a:off x="0" y="0"/>
                                      <a:ext cx="1524635" cy="194945"/>
                                    </a:xfrm>
                                    <a:prstGeom prst="rect">
                                      <a:avLst/>
                                    </a:prstGeom>
                                    <a:noFill/>
                                  </wps:spPr>
                                  <wps:txbx>
                                    <w:txbxContent>
                                      <w:p w14:paraId="1E9CE52D" w14:textId="77777777" w:rsidR="00984DA9" w:rsidRDefault="00984DA9" w:rsidP="00984DA9">
                                        <w:pPr>
                                          <w:spacing w:before="100"/>
                                          <w:rPr>
                                            <w:rFonts w:hAnsi="Arial"/>
                                            <w:b/>
                                            <w:bCs/>
                                            <w:kern w:val="24"/>
                                            <w:sz w:val="18"/>
                                            <w:szCs w:val="18"/>
                                          </w:rPr>
                                        </w:pPr>
                                        <w:r>
                                          <w:rPr>
                                            <w:rFonts w:hAnsi="Arial"/>
                                            <w:b/>
                                            <w:bCs/>
                                            <w:kern w:val="24"/>
                                            <w:sz w:val="18"/>
                                            <w:szCs w:val="18"/>
                                          </w:rPr>
                                          <w:t>Sponsored by:</w:t>
                                        </w:r>
                                      </w:p>
                                    </w:txbxContent>
                                  </wps:txbx>
                                  <wps:bodyPr wrap="square" lIns="0" tIns="0" rIns="0" bIns="0" rtlCol="0">
                                    <a:spAutoFit/>
                                  </wps:bodyPr>
                                </wps:wsp>
                                <pic:pic xmlns:pic="http://schemas.openxmlformats.org/drawingml/2006/picture">
                                  <pic:nvPicPr>
                                    <pic:cNvPr id="1306227548" name="Picture 1306227548">
                                      <a:extLst>
                                        <a:ext uri="{FF2B5EF4-FFF2-40B4-BE49-F238E27FC236}">
                                          <a16:creationId xmlns:a16="http://schemas.microsoft.com/office/drawing/2014/main" id="{8C5F4573-AAF8-B7A2-7A10-009333E31F48}"/>
                                        </a:ext>
                                      </a:extLst>
                                    </pic:cNvPr>
                                    <pic:cNvPicPr>
                                      <a:picLocks noChangeAspect="1"/>
                                    </pic:cNvPicPr>
                                  </pic:nvPicPr>
                                  <pic:blipFill>
                                    <a:blip r:embed="rId13"/>
                                    <a:stretch>
                                      <a:fillRect/>
                                    </a:stretch>
                                  </pic:blipFill>
                                  <pic:spPr>
                                    <a:xfrm>
                                      <a:off x="0" y="269281"/>
                                      <a:ext cx="2357846" cy="182880"/>
                                    </a:xfrm>
                                    <a:prstGeom prst="rect">
                                      <a:avLst/>
                                    </a:prstGeom>
                                  </pic:spPr>
                                </pic:pic>
                              </wpg:wgp>
                            </a:graphicData>
                          </a:graphic>
                        </wp:anchor>
                      </w:drawing>
                    </mc:Choice>
                    <mc:Fallback>
                      <w:pict>
                        <v:group w14:anchorId="0DB36549" id="Group 5" o:spid="_x0000_s1026" style="position:absolute;margin-left:163.65pt;margin-top:269.75pt;width:185.65pt;height:35.6pt;z-index:251658243" coordsize="23578,45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">
                          <v:shapetype id="_x0000_t202" coordsize="21600,21600" o:spt="202" path="m,l,21600r21600,l21600,xe">
                            <v:stroke joinstyle="miter"/>
                            <v:path gradientshapeok="t" o:connecttype="rect"/>
                          </v:shapetype>
                          <v:shape id="Audience label" o:spid="_x0000_s1027" type="#_x0000_t202" style="position:absolute;width:15246;height:1949;visibility:visible;mso-wrap-style:square;v-text-anchor:top" o:bwmode="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" filled="f" stroked="f">
                            <v:textbox style="mso-fit-shape-to-text:t" inset="0,0,0,0">
                              <w:txbxContent>
                                <w:p w14:paraId="1E9CE52D" w14:textId="77777777" w:rsidR="00984DA9" w:rsidRDefault="00984DA9" w:rsidP="00984DA9">
                                  <w:pPr>
                                    <w:spacing w:before="100"/>
                                    <w:rPr>
                                      <w:rFonts w:hAnsi="Arial"/>
                                      <w:b/>
                                      <w:bCs/>
                                      <w:kern w:val="24"/>
                                      <w:sz w:val="18"/>
                                      <w:szCs w:val="18"/>
                                    </w:rPr>
                                  </w:pPr>
                                  <w:r>
                                    <w:rPr>
                                      <w:rFonts w:hAnsi="Arial"/>
                                      <w:b/>
                                      <w:bCs/>
                                      <w:kern w:val="24"/>
                                      <w:sz w:val="18"/>
                                      <w:szCs w:val="18"/>
                                    </w:rPr>
                                    <w:t>Sponsored by:</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06227548" o:spid="_x0000_s1028" type="#_x0000_t75" style="position:absolute;top:2692;width:23578;height:1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">
                            <v:imagedata r:id="rId14" o:title=""/>
                          </v:shape>
                        </v:group>
                      </w:pict>
                    </mc:Fallback>
                  </mc:AlternateContent>
                </w:r>
                <w:r w:rsidR="001932EC">
                  <w:rPr>
                    <w:noProof/>
                    <w:sz w:val="18"/>
                    <w:szCs w:val="18"/>
                  </w:rPr>
                  <w:t>November</w:t>
                </w:r>
                <w:r w:rsidRPr="00B554F7">
                  <w:rPr>
                    <w:noProof/>
                    <w:sz w:val="18"/>
                    <w:szCs w:val="18"/>
                  </w:rPr>
                  <w:t xml:space="preserve"> </w:t>
                </w:r>
                <w:r w:rsidR="00B554F7" w:rsidRPr="00B554F7">
                  <w:rPr>
                    <w:noProof/>
                    <w:sz w:val="18"/>
                    <w:szCs w:val="18"/>
                  </w:rPr>
                  <w:t>202</w:t>
                </w:r>
                <w:r w:rsidR="00FD2677">
                  <w:rPr>
                    <w:noProof/>
                    <w:sz w:val="18"/>
                    <w:szCs w:val="18"/>
                  </w:rPr>
                  <w:t>6</w:t>
                </w:r>
              </w:p>
            </w:tc>
            <w:tc>
              <w:tcPr>
                <w:tcW w:w="2300" w:type="dxa"/>
              </w:tcPr>
              <w:p w14:paraId="5E11A2D6" w14:textId="5C77702A" w:rsidR="00522506" w:rsidRPr="00617E5B" w:rsidRDefault="00522506" w:rsidP="006126E0">
                <w:pPr>
                  <w:pStyle w:val="ABNormal"/>
                  <w:rPr>
                    <w:noProof/>
                    <w:sz w:val="18"/>
                    <w:szCs w:val="18"/>
                  </w:rPr>
                </w:pPr>
              </w:p>
            </w:tc>
          </w:tr>
        </w:tbl>
        <w:p w14:paraId="665DD90E" w14:textId="77777777" w:rsidR="00522506" w:rsidRDefault="00522506" w:rsidP="006126E0">
          <w:pPr>
            <w:pStyle w:val="ABNormal"/>
            <w:rPr>
              <w:noProof/>
            </w:rPr>
          </w:pPr>
          <w:r>
            <w:rPr>
              <w:noProof/>
            </w:rPr>
            <mc:AlternateContent>
              <mc:Choice Requires="wps">
                <w:drawing>
                  <wp:anchor distT="0" distB="0" distL="114300" distR="114300" simplePos="0" relativeHeight="251658240" behindDoc="1" locked="0" layoutInCell="1" allowOverlap="1" wp14:anchorId="0AEB5D5B" wp14:editId="02693318">
                    <wp:simplePos x="0" y="0"/>
                    <wp:positionH relativeFrom="page">
                      <wp:posOffset>635</wp:posOffset>
                    </wp:positionH>
                    <wp:positionV relativeFrom="page">
                      <wp:posOffset>9598660</wp:posOffset>
                    </wp:positionV>
                    <wp:extent cx="7772400" cy="457200"/>
                    <wp:effectExtent l="0" t="0" r="0" b="0"/>
                    <wp:wrapNone/>
                    <wp:docPr id="29" name="Rectangle 29"/>
                    <wp:cNvGraphicFramePr/>
                    <a:graphic xmlns:a="http://schemas.openxmlformats.org/drawingml/2006/main">
                      <a:graphicData uri="http://schemas.microsoft.com/office/word/2010/wordprocessingShape">
                        <wps:wsp>
                          <wps:cNvSpPr/>
                          <wps:spPr>
                            <a:xfrm>
                              <a:off x="0" y="0"/>
                              <a:ext cx="7772400" cy="4572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16="http://schemas.microsoft.com/office/drawing/2014/main" xmlns:asvg="http://schemas.microsoft.com/office/drawing/2016/SVG/main" xmlns:pic="http://schemas.openxmlformats.org/drawingml/2006/picture" xmlns:a="http://schemas.openxmlformats.org/drawingml/2006/main">
                <w:pict w14:anchorId="01E1F5C9">
                  <v:rect id="Rectangle 29" style="position:absolute;margin-left:.05pt;margin-top:755.8pt;width:612pt;height:3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white [3212]" stroked="f" strokeweight="1pt" w14:anchorId="63E21EE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">
                    <w10:wrap anchorx="page" anchory="page"/>
                  </v:rect>
                </w:pict>
              </mc:Fallback>
            </mc:AlternateContent>
          </w:r>
        </w:p>
      </w:sdtContent>
    </w:sdt>
    <w:p w14:paraId="6DF3026C" w14:textId="77777777" w:rsidR="000F36B0" w:rsidRDefault="000F36B0">
      <w:pPr>
        <w:rPr>
          <w:rFonts w:asciiTheme="majorHAnsi" w:eastAsiaTheme="majorEastAsia" w:hAnsiTheme="majorHAnsi" w:cstheme="majorBidi"/>
          <w:color w:val="222A30" w:themeColor="accent5"/>
          <w:sz w:val="50"/>
          <w:szCs w:val="40"/>
        </w:rPr>
      </w:pPr>
      <w:r>
        <w:lastRenderedPageBreak/>
        <w:br w:type="page"/>
      </w:r>
    </w:p>
    <w:p w14:paraId="34881A59" w14:textId="2B1C0B87" w:rsidR="00B554F7" w:rsidRDefault="00557EE4" w:rsidP="00B554F7">
      <w:pPr>
        <w:pStyle w:val="Heading1"/>
      </w:pPr>
      <w:r w:rsidRPr="00557EE4">
        <w:lastRenderedPageBreak/>
        <w:t>Value-</w:t>
      </w:r>
      <w:r>
        <w:t>b</w:t>
      </w:r>
      <w:r w:rsidRPr="00557EE4">
        <w:t xml:space="preserve">ased </w:t>
      </w:r>
      <w:r>
        <w:t>c</w:t>
      </w:r>
      <w:r w:rsidRPr="00557EE4">
        <w:t xml:space="preserve">are </w:t>
      </w:r>
      <w:r>
        <w:t>a</w:t>
      </w:r>
      <w:r w:rsidRPr="00557EE4">
        <w:t xml:space="preserve">lternate </w:t>
      </w:r>
      <w:r>
        <w:t>p</w:t>
      </w:r>
      <w:r w:rsidRPr="00557EE4">
        <w:t xml:space="preserve">ayment </w:t>
      </w:r>
      <w:r>
        <w:t>m</w:t>
      </w:r>
      <w:r w:rsidRPr="00557EE4">
        <w:t>odels</w:t>
      </w:r>
    </w:p>
    <w:p w14:paraId="1D30C6A4" w14:textId="63C6C0A9" w:rsidR="00B554F7" w:rsidRDefault="0061750D" w:rsidP="00D76770">
      <w:pPr>
        <w:pStyle w:val="ABSectionText"/>
        <w:tabs>
          <w:tab w:val="left" w:pos="1620"/>
        </w:tabs>
        <w:ind w:left="720"/>
      </w:pPr>
      <w:r w:rsidRPr="0061750D">
        <w:t>Value-</w:t>
      </w:r>
      <w:r w:rsidR="008D0F9E">
        <w:t>b</w:t>
      </w:r>
      <w:r w:rsidRPr="0061750D">
        <w:t xml:space="preserve">ased </w:t>
      </w:r>
      <w:r w:rsidR="008D0F9E">
        <w:t>c</w:t>
      </w:r>
      <w:r w:rsidRPr="0061750D">
        <w:t xml:space="preserve">are (VBC) </w:t>
      </w:r>
      <w:r w:rsidR="008D0F9E">
        <w:t>a</w:t>
      </w:r>
      <w:r w:rsidRPr="0061750D">
        <w:t xml:space="preserve">lternate </w:t>
      </w:r>
      <w:r w:rsidR="008D0F9E">
        <w:t>p</w:t>
      </w:r>
      <w:r w:rsidRPr="0061750D">
        <w:t xml:space="preserve">ayment </w:t>
      </w:r>
      <w:r w:rsidR="008D0F9E">
        <w:t>m</w:t>
      </w:r>
      <w:r w:rsidRPr="0061750D">
        <w:t xml:space="preserve">odels (APMs) are healthcare reimbursement strategies designed to encourage the transition from traditional </w:t>
      </w:r>
      <w:r w:rsidR="008D0F9E">
        <w:t>f</w:t>
      </w:r>
      <w:r w:rsidRPr="0061750D">
        <w:t>ee-</w:t>
      </w:r>
      <w:r w:rsidR="008D0F9E">
        <w:t>f</w:t>
      </w:r>
      <w:r w:rsidRPr="0061750D">
        <w:t>or-</w:t>
      </w:r>
      <w:r w:rsidR="008D0F9E">
        <w:t>s</w:t>
      </w:r>
      <w:r w:rsidRPr="0061750D">
        <w:t xml:space="preserve">ervice (FFS) </w:t>
      </w:r>
      <w:r w:rsidRPr="00C82412">
        <w:t>payment</w:t>
      </w:r>
      <w:r w:rsidR="00C95D9B" w:rsidRPr="00C82412">
        <w:t xml:space="preserve"> models</w:t>
      </w:r>
      <w:r w:rsidR="00C82412" w:rsidRPr="00C82412">
        <w:t xml:space="preserve"> to value-based models</w:t>
      </w:r>
      <w:r w:rsidR="00A03600" w:rsidRPr="00C82412">
        <w:t xml:space="preserve">. FFS </w:t>
      </w:r>
      <w:r w:rsidRPr="00C82412">
        <w:t>compensate</w:t>
      </w:r>
      <w:r w:rsidR="00C95D9B" w:rsidRPr="00C82412">
        <w:t>s</w:t>
      </w:r>
      <w:r w:rsidRPr="00C82412">
        <w:t xml:space="preserve"> service providers for activity regardless of </w:t>
      </w:r>
      <w:r w:rsidR="00A03600" w:rsidRPr="00C82412">
        <w:t>the</w:t>
      </w:r>
      <w:r w:rsidRPr="00C82412">
        <w:t xml:space="preserve"> impact on health outcome. </w:t>
      </w:r>
      <w:r w:rsidR="00406490">
        <w:t>In</w:t>
      </w:r>
      <w:r w:rsidR="00406490" w:rsidRPr="00C82412">
        <w:t xml:space="preserve"> </w:t>
      </w:r>
      <w:r w:rsidRPr="00C82412">
        <w:t>contrast, APMs are intended to incentivize service providers to optimize health outcomes through efficiency and quality</w:t>
      </w:r>
      <w:r w:rsidR="00C95D9B" w:rsidRPr="00C82412">
        <w:t xml:space="preserve"> of care. To do this, AP</w:t>
      </w:r>
      <w:r w:rsidR="00C95D9B">
        <w:t xml:space="preserve">Ms use </w:t>
      </w:r>
      <w:r w:rsidRPr="0061750D">
        <w:t xml:space="preserve">a variety of payment structures that consider </w:t>
      </w:r>
      <w:r w:rsidR="00DE2FE5">
        <w:t xml:space="preserve">both </w:t>
      </w:r>
      <w:r w:rsidRPr="0061750D">
        <w:t xml:space="preserve">service provider readiness and consumer population </w:t>
      </w:r>
      <w:proofErr w:type="gramStart"/>
      <w:r w:rsidRPr="0061750D">
        <w:t>served</w:t>
      </w:r>
      <w:proofErr w:type="gramEnd"/>
      <w:r w:rsidRPr="0061750D">
        <w:t xml:space="preserve">. APMs may apply to health conditions, care episodes, specific provider types or communities, and innovation </w:t>
      </w:r>
      <w:r w:rsidR="11C34EC7" w:rsidRPr="00946D44">
        <w:t xml:space="preserve">across Medicaid, Traditional Medicare, Medicare Advantage, and </w:t>
      </w:r>
      <w:r w:rsidR="00406490">
        <w:t>c</w:t>
      </w:r>
      <w:r w:rsidR="11C34EC7" w:rsidRPr="00946D44">
        <w:t xml:space="preserve">ommercial </w:t>
      </w:r>
      <w:r w:rsidR="00406490">
        <w:t>h</w:t>
      </w:r>
      <w:r w:rsidR="11C34EC7" w:rsidRPr="00946D44">
        <w:t xml:space="preserve">ealth </w:t>
      </w:r>
      <w:r w:rsidR="00406490">
        <w:t>p</w:t>
      </w:r>
      <w:r w:rsidR="11C34EC7" w:rsidRPr="00946D44">
        <w:t>lan</w:t>
      </w:r>
      <w:r w:rsidR="00406490">
        <w:t>s</w:t>
      </w:r>
      <w:r w:rsidRPr="0061750D">
        <w:t>.</w:t>
      </w:r>
      <w:r w:rsidR="00643E73" w:rsidRPr="00643E73">
        <w:rPr>
          <w:vertAlign w:val="superscript"/>
        </w:rPr>
        <w:t>1</w:t>
      </w:r>
      <w:r w:rsidRPr="0061750D">
        <w:t xml:space="preserve">  </w:t>
      </w:r>
    </w:p>
    <w:p w14:paraId="20522E21" w14:textId="3152F9B1" w:rsidR="004174F9" w:rsidRDefault="00A6447A" w:rsidP="00FD2677">
      <w:pPr>
        <w:pStyle w:val="ABHeading3NotLinked"/>
        <w:ind w:left="720"/>
      </w:pPr>
      <w:r>
        <w:t xml:space="preserve">Types of </w:t>
      </w:r>
      <w:r w:rsidR="002A1516">
        <w:t>APMs</w:t>
      </w:r>
    </w:p>
    <w:p w14:paraId="716FAFFF" w14:textId="6C257C7B" w:rsidR="0061750D" w:rsidRDefault="00462764" w:rsidP="00FD2677">
      <w:pPr>
        <w:pStyle w:val="ABSectionText"/>
        <w:ind w:left="720"/>
      </w:pPr>
      <w:r w:rsidRPr="00AC1662">
        <w:t>A</w:t>
      </w:r>
      <w:r w:rsidR="00643E73" w:rsidRPr="00AC1662">
        <w:t>n evolving solution for sustaining community-led healthcare initiatives</w:t>
      </w:r>
      <w:r w:rsidRPr="00AC1662">
        <w:t>,</w:t>
      </w:r>
      <w:r w:rsidR="00643E73" w:rsidRPr="00AC1662">
        <w:t xml:space="preserve"> </w:t>
      </w:r>
      <w:r w:rsidRPr="00AC1662">
        <w:t>APMs emphasize</w:t>
      </w:r>
      <w:r w:rsidR="00643E73" w:rsidRPr="00AC1662">
        <w:t xml:space="preserve"> improv</w:t>
      </w:r>
      <w:r w:rsidRPr="00AC1662">
        <w:t>ed</w:t>
      </w:r>
      <w:r w:rsidR="00643E73" w:rsidRPr="00AC1662">
        <w:t xml:space="preserve"> access and quality of care rather than volume of activity. APMs offer flexibility for a variety of community-informed healthcare programs, partners, and services to be included in a value-based care arrangement. For example, </w:t>
      </w:r>
      <w:r w:rsidRPr="00AC1662">
        <w:t xml:space="preserve">providers may engage </w:t>
      </w:r>
      <w:r w:rsidR="00643E73" w:rsidRPr="00AC1662">
        <w:t>community-based organizations as care extenders to help improve</w:t>
      </w:r>
      <w:r w:rsidR="00643E73" w:rsidRPr="00643E73">
        <w:t xml:space="preserve"> quality outcomes for patients, therefore enabling the provider to achieve success through an APM reimbursement model with a healthcare payer. Alternatively, </w:t>
      </w:r>
      <w:r w:rsidR="00DB0C73" w:rsidRPr="00643E73">
        <w:t>if</w:t>
      </w:r>
      <w:r w:rsidR="00DB0C73" w:rsidRPr="00DB0C73">
        <w:t xml:space="preserve"> </w:t>
      </w:r>
      <w:r w:rsidR="00DB0C73" w:rsidRPr="00643E73">
        <w:t xml:space="preserve">community-based organizations have a sophisticated approach to demonstrating </w:t>
      </w:r>
      <w:r w:rsidR="00406490">
        <w:t xml:space="preserve">improvements in </w:t>
      </w:r>
      <w:r w:rsidR="00DB0C73" w:rsidRPr="00643E73">
        <w:t>health outcome</w:t>
      </w:r>
      <w:r w:rsidR="00406490">
        <w:t xml:space="preserve">s that are </w:t>
      </w:r>
      <w:r w:rsidR="00DB0C73" w:rsidRPr="00643E73">
        <w:t>in areas of importance to payers</w:t>
      </w:r>
      <w:r w:rsidR="00FD1B50">
        <w:t xml:space="preserve">, they may </w:t>
      </w:r>
      <w:r w:rsidR="00643E73" w:rsidRPr="00643E73">
        <w:t>consider engaging in APM arrangements directly with healthcare payers.</w:t>
      </w:r>
    </w:p>
    <w:p w14:paraId="734136D9" w14:textId="290A8C3D" w:rsidR="00B554F7" w:rsidRDefault="007A7B74" w:rsidP="006E0798">
      <w:pPr>
        <w:pStyle w:val="Heading4"/>
        <w:ind w:hanging="1800"/>
      </w:pPr>
      <w:r>
        <w:t>Summary of common alternative payment models</w:t>
      </w:r>
      <w:r w:rsidR="008B4580">
        <w:rPr>
          <w:vertAlign w:val="superscript"/>
        </w:rPr>
        <w:t>2</w:t>
      </w:r>
    </w:p>
    <w:tbl>
      <w:tblPr>
        <w:tblStyle w:val="ListTable6Colorful-Accent3"/>
        <w:tblW w:w="9630" w:type="dxa"/>
        <w:tblInd w:w="720" w:type="dxa"/>
        <w:tblLook w:val="04A0" w:firstRow="1" w:lastRow="0" w:firstColumn="1" w:lastColumn="0" w:noHBand="0" w:noVBand="1"/>
      </w:tblPr>
      <w:tblGrid>
        <w:gridCol w:w="2070"/>
        <w:gridCol w:w="2520"/>
        <w:gridCol w:w="2520"/>
        <w:gridCol w:w="2520"/>
      </w:tblGrid>
      <w:tr w:rsidR="00D206C6" w14:paraId="37C6490F" w14:textId="0579A256" w:rsidTr="004C1956">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2070" w:type="dxa"/>
          </w:tcPr>
          <w:p w14:paraId="399D797B" w14:textId="7A2E6ED7" w:rsidR="00D206C6" w:rsidRDefault="00D206C6" w:rsidP="00C17242">
            <w:pPr>
              <w:pStyle w:val="ABTableColumnHeader"/>
            </w:pPr>
            <w:r>
              <w:t>Model</w:t>
            </w:r>
          </w:p>
        </w:tc>
        <w:tc>
          <w:tcPr>
            <w:tcW w:w="2520" w:type="dxa"/>
          </w:tcPr>
          <w:p w14:paraId="694A45C3" w14:textId="7CDD0132" w:rsidR="00D206C6" w:rsidRDefault="00D206C6" w:rsidP="00C17242">
            <w:pPr>
              <w:pStyle w:val="ABTableColumnHeader"/>
              <w:cnfStyle w:val="100000000000" w:firstRow="1" w:lastRow="0" w:firstColumn="0" w:lastColumn="0" w:oddVBand="0" w:evenVBand="0" w:oddHBand="0" w:evenHBand="0" w:firstRowFirstColumn="0" w:firstRowLastColumn="0" w:lastRowFirstColumn="0" w:lastRowLastColumn="0"/>
            </w:pPr>
            <w:r>
              <w:t>Summary</w:t>
            </w:r>
          </w:p>
        </w:tc>
        <w:tc>
          <w:tcPr>
            <w:tcW w:w="2520" w:type="dxa"/>
          </w:tcPr>
          <w:p w14:paraId="61634120" w14:textId="3D163F9B" w:rsidR="00D206C6" w:rsidRDefault="00D206C6" w:rsidP="00C17242">
            <w:pPr>
              <w:pStyle w:val="ABTableColumnHeader"/>
              <w:cnfStyle w:val="100000000000" w:firstRow="1" w:lastRow="0" w:firstColumn="0" w:lastColumn="0" w:oddVBand="0" w:evenVBand="0" w:oddHBand="0" w:evenHBand="0" w:firstRowFirstColumn="0" w:firstRowLastColumn="0" w:lastRowFirstColumn="0" w:lastRowLastColumn="0"/>
            </w:pPr>
            <w:r>
              <w:t>Implementation notes</w:t>
            </w:r>
          </w:p>
        </w:tc>
        <w:tc>
          <w:tcPr>
            <w:tcW w:w="2520" w:type="dxa"/>
          </w:tcPr>
          <w:p w14:paraId="26557477" w14:textId="1C500A2B" w:rsidR="00D206C6" w:rsidRDefault="00A9221C" w:rsidP="00C17242">
            <w:pPr>
              <w:pStyle w:val="ABTableColumnHeader"/>
              <w:cnfStyle w:val="100000000000" w:firstRow="1" w:lastRow="0" w:firstColumn="0" w:lastColumn="0" w:oddVBand="0" w:evenVBand="0" w:oddHBand="0" w:evenHBand="0" w:firstRowFirstColumn="0" w:firstRowLastColumn="0" w:lastRowFirstColumn="0" w:lastRowLastColumn="0"/>
            </w:pPr>
            <w:r>
              <w:t>Things to know</w:t>
            </w:r>
          </w:p>
        </w:tc>
      </w:tr>
      <w:tr w:rsidR="00D206C6" w14:paraId="2E1CF779" w14:textId="0277D956" w:rsidTr="007D3570">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070" w:type="dxa"/>
          </w:tcPr>
          <w:p w14:paraId="4CED9585" w14:textId="1F859172" w:rsidR="00D206C6" w:rsidRDefault="00773E28" w:rsidP="00C17242">
            <w:pPr>
              <w:pStyle w:val="ABTableRowHeader"/>
            </w:pPr>
            <w:r>
              <w:t>Fixed-price contract</w:t>
            </w:r>
          </w:p>
        </w:tc>
        <w:tc>
          <w:tcPr>
            <w:tcW w:w="2520" w:type="dxa"/>
          </w:tcPr>
          <w:p w14:paraId="518DFDAF" w14:textId="7472B845" w:rsidR="00D206C6" w:rsidRDefault="00FE65E8" w:rsidP="00C17242">
            <w:pPr>
              <w:pStyle w:val="ABGraphicTableText"/>
              <w:cnfStyle w:val="000000100000" w:firstRow="0" w:lastRow="0" w:firstColumn="0" w:lastColumn="0" w:oddVBand="0" w:evenVBand="0" w:oddHBand="1" w:evenHBand="0" w:firstRowFirstColumn="0" w:firstRowLastColumn="0" w:lastRowFirstColumn="0" w:lastRowLastColumn="0"/>
            </w:pPr>
            <w:r w:rsidRPr="00FE65E8">
              <w:t>Fixed payment for services regardless of utilization or outcome.</w:t>
            </w:r>
          </w:p>
        </w:tc>
        <w:tc>
          <w:tcPr>
            <w:tcW w:w="2520" w:type="dxa"/>
          </w:tcPr>
          <w:p w14:paraId="27F323D2" w14:textId="77777777" w:rsidR="001B2261" w:rsidRDefault="001B2261" w:rsidP="001B2261">
            <w:pPr>
              <w:pStyle w:val="ABGraphicTableBullets"/>
              <w:cnfStyle w:val="000000100000" w:firstRow="0" w:lastRow="0" w:firstColumn="0" w:lastColumn="0" w:oddVBand="0" w:evenVBand="0" w:oddHBand="1" w:evenHBand="0" w:firstRowFirstColumn="0" w:firstRowLastColumn="0" w:lastRowFirstColumn="0" w:lastRowLastColumn="0"/>
            </w:pPr>
            <w:r>
              <w:t>Parties agree in advance on price of service.</w:t>
            </w:r>
          </w:p>
          <w:p w14:paraId="4320007C" w14:textId="77777777" w:rsidR="001B2261" w:rsidRDefault="001B2261" w:rsidP="001B2261">
            <w:pPr>
              <w:pStyle w:val="ABGraphicTableBullets"/>
              <w:cnfStyle w:val="000000100000" w:firstRow="0" w:lastRow="0" w:firstColumn="0" w:lastColumn="0" w:oddVBand="0" w:evenVBand="0" w:oddHBand="1" w:evenHBand="0" w:firstRowFirstColumn="0" w:firstRowLastColumn="0" w:lastRowFirstColumn="0" w:lastRowLastColumn="0"/>
            </w:pPr>
            <w:r>
              <w:t>Payment is issued in advance to secure capacity or in installments throughout service.</w:t>
            </w:r>
          </w:p>
          <w:p w14:paraId="3399CB67" w14:textId="3DF57227" w:rsidR="00D206C6" w:rsidRDefault="0038538A" w:rsidP="001B2261">
            <w:pPr>
              <w:pStyle w:val="ABGraphicTableBullets"/>
              <w:cnfStyle w:val="000000100000" w:firstRow="0" w:lastRow="0" w:firstColumn="0" w:lastColumn="0" w:oddVBand="0" w:evenVBand="0" w:oddHBand="1" w:evenHBand="0" w:firstRowFirstColumn="0" w:firstRowLastColumn="0" w:lastRowFirstColumn="0" w:lastRowLastColumn="0"/>
            </w:pPr>
            <w:r>
              <w:t xml:space="preserve">Use </w:t>
            </w:r>
            <w:r w:rsidR="001B2261">
              <w:t xml:space="preserve">of funds </w:t>
            </w:r>
            <w:proofErr w:type="gramStart"/>
            <w:r w:rsidR="001B2261">
              <w:t>often</w:t>
            </w:r>
            <w:proofErr w:type="gramEnd"/>
            <w:r w:rsidR="001B2261">
              <w:t xml:space="preserve"> limited to specific activities or programming.</w:t>
            </w:r>
          </w:p>
        </w:tc>
        <w:tc>
          <w:tcPr>
            <w:tcW w:w="2520" w:type="dxa"/>
          </w:tcPr>
          <w:p w14:paraId="4AD96D5E" w14:textId="093ED575" w:rsidR="00D206C6" w:rsidRDefault="00BE757A" w:rsidP="00BE757A">
            <w:pPr>
              <w:pStyle w:val="ABGraphicTableBullets"/>
              <w:numPr>
                <w:ilvl w:val="0"/>
                <w:numId w:val="0"/>
              </w:numPr>
              <w:cnfStyle w:val="000000100000" w:firstRow="0" w:lastRow="0" w:firstColumn="0" w:lastColumn="0" w:oddVBand="0" w:evenVBand="0" w:oddHBand="1" w:evenHBand="0" w:firstRowFirstColumn="0" w:firstRowLastColumn="0" w:lastRowFirstColumn="0" w:lastRowLastColumn="0"/>
            </w:pPr>
            <w:r w:rsidRPr="00BE757A">
              <w:t xml:space="preserve">Payment </w:t>
            </w:r>
            <w:proofErr w:type="gramStart"/>
            <w:r w:rsidRPr="00BE757A">
              <w:t>model does</w:t>
            </w:r>
            <w:proofErr w:type="gramEnd"/>
            <w:r w:rsidRPr="00BE757A">
              <w:t xml:space="preserve"> not dynamically respond to changes in utilization or outcomes.</w:t>
            </w:r>
          </w:p>
        </w:tc>
      </w:tr>
      <w:tr w:rsidR="00D206C6" w14:paraId="00DE27EE" w14:textId="5D3D72F3" w:rsidTr="007D3570">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070" w:type="dxa"/>
          </w:tcPr>
          <w:p w14:paraId="284EBA9F" w14:textId="469A9845" w:rsidR="00D206C6" w:rsidRDefault="00804B60" w:rsidP="00C17242">
            <w:pPr>
              <w:pStyle w:val="ABTableRowHeader"/>
            </w:pPr>
            <w:r>
              <w:t xml:space="preserve">Fee-for-service (FFS) </w:t>
            </w:r>
            <w:r w:rsidR="005B1230">
              <w:t xml:space="preserve">with advanced capacity funding </w:t>
            </w:r>
            <w:r w:rsidR="005C2745">
              <w:t>and retrospective bonus payments</w:t>
            </w:r>
          </w:p>
        </w:tc>
        <w:tc>
          <w:tcPr>
            <w:tcW w:w="2520" w:type="dxa"/>
          </w:tcPr>
          <w:p w14:paraId="652D3ED1" w14:textId="77777777" w:rsidR="00594DD4" w:rsidRDefault="00594DD4" w:rsidP="00594DD4">
            <w:pPr>
              <w:pStyle w:val="ABGraphicTableText"/>
              <w:cnfStyle w:val="000000010000" w:firstRow="0" w:lastRow="0" w:firstColumn="0" w:lastColumn="0" w:oddVBand="0" w:evenVBand="0" w:oddHBand="0" w:evenHBand="1" w:firstRowFirstColumn="0" w:firstRowLastColumn="0" w:lastRowFirstColumn="0" w:lastRowLastColumn="0"/>
            </w:pPr>
            <w:r>
              <w:t xml:space="preserve">Layered payment structure including: </w:t>
            </w:r>
          </w:p>
          <w:p w14:paraId="13CFC420" w14:textId="06F76B49" w:rsidR="00594DD4" w:rsidRDefault="00594DD4" w:rsidP="00602BCE">
            <w:pPr>
              <w:pStyle w:val="ABGraphicTableBullets"/>
              <w:numPr>
                <w:ilvl w:val="0"/>
                <w:numId w:val="13"/>
              </w:numPr>
              <w:cnfStyle w:val="000000010000" w:firstRow="0" w:lastRow="0" w:firstColumn="0" w:lastColumn="0" w:oddVBand="0" w:evenVBand="0" w:oddHBand="0" w:evenHBand="1" w:firstRowFirstColumn="0" w:firstRowLastColumn="0" w:lastRowFirstColumn="0" w:lastRowLastColumn="0"/>
            </w:pPr>
            <w:r>
              <w:t>Advanced payment to fund capacity of operations</w:t>
            </w:r>
            <w:r w:rsidR="00840786">
              <w:t>.</w:t>
            </w:r>
          </w:p>
          <w:p w14:paraId="24A3BE31" w14:textId="5CDB864A" w:rsidR="00594DD4" w:rsidRDefault="00594DD4" w:rsidP="00602BCE">
            <w:pPr>
              <w:pStyle w:val="ABGraphicTableBullets"/>
              <w:numPr>
                <w:ilvl w:val="0"/>
                <w:numId w:val="13"/>
              </w:numPr>
              <w:cnfStyle w:val="000000010000" w:firstRow="0" w:lastRow="0" w:firstColumn="0" w:lastColumn="0" w:oddVBand="0" w:evenVBand="0" w:oddHBand="0" w:evenHBand="1" w:firstRowFirstColumn="0" w:firstRowLastColumn="0" w:lastRowFirstColumn="0" w:lastRowLastColumn="0"/>
            </w:pPr>
            <w:r>
              <w:t>Regular reimbursement for services rendered</w:t>
            </w:r>
            <w:r w:rsidR="00840786">
              <w:t>.</w:t>
            </w:r>
            <w:r>
              <w:t xml:space="preserve"> </w:t>
            </w:r>
          </w:p>
          <w:p w14:paraId="6F5A1B2F" w14:textId="6CBBBC9E" w:rsidR="00D206C6" w:rsidRDefault="00594DD4" w:rsidP="00602BCE">
            <w:pPr>
              <w:pStyle w:val="ABGraphicTableBullets"/>
              <w:numPr>
                <w:ilvl w:val="0"/>
                <w:numId w:val="13"/>
              </w:numPr>
              <w:cnfStyle w:val="000000010000" w:firstRow="0" w:lastRow="0" w:firstColumn="0" w:lastColumn="0" w:oddVBand="0" w:evenVBand="0" w:oddHBand="0" w:evenHBand="1" w:firstRowFirstColumn="0" w:firstRowLastColumn="0" w:lastRowFirstColumn="0" w:lastRowLastColumn="0"/>
            </w:pPr>
            <w:r>
              <w:t>Retrospective bonus payment of set dollar amount for health management quality scores and data sharing</w:t>
            </w:r>
            <w:r w:rsidR="00840786">
              <w:t>.</w:t>
            </w:r>
          </w:p>
        </w:tc>
        <w:tc>
          <w:tcPr>
            <w:tcW w:w="2520" w:type="dxa"/>
          </w:tcPr>
          <w:p w14:paraId="28E82F8B" w14:textId="6B5DB3F0" w:rsidR="000924EB" w:rsidRDefault="000924EB" w:rsidP="000924EB">
            <w:pPr>
              <w:pStyle w:val="ABGraphicTableBullets"/>
              <w:cnfStyle w:val="000000010000" w:firstRow="0" w:lastRow="0" w:firstColumn="0" w:lastColumn="0" w:oddVBand="0" w:evenVBand="0" w:oddHBand="0" w:evenHBand="1" w:firstRowFirstColumn="0" w:firstRowLastColumn="0" w:lastRowFirstColumn="0" w:lastRowLastColumn="0"/>
            </w:pPr>
            <w:r>
              <w:t>Funding required for operations</w:t>
            </w:r>
            <w:r w:rsidR="004B2B9A">
              <w:t xml:space="preserve"> and </w:t>
            </w:r>
            <w:r>
              <w:t xml:space="preserve">capacity is negotiated prior to contract and is considered an advanced payment. </w:t>
            </w:r>
          </w:p>
          <w:p w14:paraId="0D277494" w14:textId="77777777" w:rsidR="000924EB" w:rsidRDefault="000924EB" w:rsidP="000924EB">
            <w:pPr>
              <w:pStyle w:val="ABGraphicTableBullets"/>
              <w:cnfStyle w:val="000000010000" w:firstRow="0" w:lastRow="0" w:firstColumn="0" w:lastColumn="0" w:oddVBand="0" w:evenVBand="0" w:oddHBand="0" w:evenHBand="1" w:firstRowFirstColumn="0" w:firstRowLastColumn="0" w:lastRowFirstColumn="0" w:lastRowLastColumn="0"/>
            </w:pPr>
            <w:r>
              <w:t xml:space="preserve">Capacity funding should contribute to ensuring the longer-term success of the organization earning bonus payments through achieving health management quality scores and data sharing standards.  </w:t>
            </w:r>
          </w:p>
          <w:p w14:paraId="6ED1C778" w14:textId="475F130A" w:rsidR="00B13CAF" w:rsidRDefault="000924EB" w:rsidP="00B13CAF">
            <w:pPr>
              <w:pStyle w:val="ABGraphicTableBullets"/>
              <w:cnfStyle w:val="000000010000" w:firstRow="0" w:lastRow="0" w:firstColumn="0" w:lastColumn="0" w:oddVBand="0" w:evenVBand="0" w:oddHBand="0" w:evenHBand="1" w:firstRowFirstColumn="0" w:firstRowLastColumn="0" w:lastRowFirstColumn="0" w:lastRowLastColumn="0"/>
            </w:pPr>
            <w:r>
              <w:t>Quality metrics required for bonus payments will vary by coverage type</w:t>
            </w:r>
            <w:r w:rsidR="00B13CAF">
              <w:t xml:space="preserve"> (Medicaid vs. Medicare vs. </w:t>
            </w:r>
            <w:r w:rsidR="004B2B9A">
              <w:t>c</w:t>
            </w:r>
            <w:r w:rsidR="00B13CAF">
              <w:t>ommercial).</w:t>
            </w:r>
          </w:p>
        </w:tc>
        <w:tc>
          <w:tcPr>
            <w:tcW w:w="2520" w:type="dxa"/>
          </w:tcPr>
          <w:p w14:paraId="3C1484C3" w14:textId="77777777" w:rsidR="007D7063" w:rsidRDefault="007D7063" w:rsidP="007D7063">
            <w:pPr>
              <w:pStyle w:val="ABGraphicTableBullets"/>
              <w:numPr>
                <w:ilvl w:val="0"/>
                <w:numId w:val="0"/>
              </w:numPr>
              <w:cnfStyle w:val="000000010000" w:firstRow="0" w:lastRow="0" w:firstColumn="0" w:lastColumn="0" w:oddVBand="0" w:evenVBand="0" w:oddHBand="0" w:evenHBand="1" w:firstRowFirstColumn="0" w:firstRowLastColumn="0" w:lastRowFirstColumn="0" w:lastRowLastColumn="0"/>
            </w:pPr>
            <w:r>
              <w:t xml:space="preserve">Payment model is maximized through health management quality score improvement. </w:t>
            </w:r>
          </w:p>
          <w:p w14:paraId="196FC679" w14:textId="2934DF85" w:rsidR="00D206C6" w:rsidRDefault="007D7063" w:rsidP="007D7063">
            <w:pPr>
              <w:pStyle w:val="ABGraphicTableBullets"/>
              <w:numPr>
                <w:ilvl w:val="0"/>
                <w:numId w:val="0"/>
              </w:numPr>
              <w:cnfStyle w:val="000000010000" w:firstRow="0" w:lastRow="0" w:firstColumn="0" w:lastColumn="0" w:oddVBand="0" w:evenVBand="0" w:oddHBand="0" w:evenHBand="1" w:firstRowFirstColumn="0" w:firstRowLastColumn="0" w:lastRowFirstColumn="0" w:lastRowLastColumn="0"/>
            </w:pPr>
            <w:r w:rsidRPr="007D7063">
              <w:rPr>
                <w:b/>
                <w:bCs/>
              </w:rPr>
              <w:t>Reference:</w:t>
            </w:r>
            <w:r>
              <w:t xml:space="preserve"> Category 2 in the HCPLAN APM Framework.</w:t>
            </w:r>
            <w:r w:rsidRPr="007D7063">
              <w:rPr>
                <w:vertAlign w:val="superscript"/>
              </w:rPr>
              <w:t>2</w:t>
            </w:r>
          </w:p>
        </w:tc>
      </w:tr>
      <w:tr w:rsidR="00D206C6" w14:paraId="7DF1AFC8" w14:textId="2FFEE43C" w:rsidTr="007D3570">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070" w:type="dxa"/>
          </w:tcPr>
          <w:p w14:paraId="65AE8723" w14:textId="70DA5713" w:rsidR="00D206C6" w:rsidRDefault="002836AF" w:rsidP="00C17242">
            <w:pPr>
              <w:pStyle w:val="ABTableRowHeader"/>
            </w:pPr>
            <w:r>
              <w:lastRenderedPageBreak/>
              <w:t>Shared savings retrospective bonus payments</w:t>
            </w:r>
            <w:r w:rsidR="00885686">
              <w:t xml:space="preserve"> (upside)</w:t>
            </w:r>
          </w:p>
        </w:tc>
        <w:tc>
          <w:tcPr>
            <w:tcW w:w="2520" w:type="dxa"/>
          </w:tcPr>
          <w:p w14:paraId="5EE62B52" w14:textId="28639957" w:rsidR="00C8271C" w:rsidRDefault="00C8271C" w:rsidP="00C8271C">
            <w:pPr>
              <w:pStyle w:val="ABGraphicTableText"/>
              <w:cnfStyle w:val="000000100000" w:firstRow="0" w:lastRow="0" w:firstColumn="0" w:lastColumn="0" w:oddVBand="0" w:evenVBand="0" w:oddHBand="1" w:evenHBand="0" w:firstRowFirstColumn="0" w:firstRowLastColumn="0" w:lastRowFirstColumn="0" w:lastRowLastColumn="0"/>
            </w:pPr>
            <w:r>
              <w:t>Layered payment structure</w:t>
            </w:r>
            <w:r w:rsidR="001733D9">
              <w:t>,</w:t>
            </w:r>
            <w:r>
              <w:t xml:space="preserve"> including: </w:t>
            </w:r>
          </w:p>
          <w:p w14:paraId="3F18DDD4" w14:textId="736C2F09" w:rsidR="00C8271C" w:rsidRDefault="00B52E5E" w:rsidP="00602BCE">
            <w:pPr>
              <w:pStyle w:val="ABGraphicTableText"/>
              <w:numPr>
                <w:ilvl w:val="0"/>
                <w:numId w:val="14"/>
              </w:numPr>
              <w:cnfStyle w:val="000000100000" w:firstRow="0" w:lastRow="0" w:firstColumn="0" w:lastColumn="0" w:oddVBand="0" w:evenVBand="0" w:oddHBand="1" w:evenHBand="0" w:firstRowFirstColumn="0" w:firstRowLastColumn="0" w:lastRowFirstColumn="0" w:lastRowLastColumn="0"/>
            </w:pPr>
            <w:r>
              <w:t xml:space="preserve">Limited </w:t>
            </w:r>
            <w:r w:rsidR="00C8271C">
              <w:t>reimbursement for services rendered</w:t>
            </w:r>
            <w:r w:rsidR="001733D9">
              <w:t>.</w:t>
            </w:r>
            <w:r w:rsidR="00C8271C">
              <w:t xml:space="preserve"> </w:t>
            </w:r>
          </w:p>
          <w:p w14:paraId="738333F6" w14:textId="4CF7B38A" w:rsidR="00D206C6" w:rsidRDefault="00C8271C" w:rsidP="00602BCE">
            <w:pPr>
              <w:pStyle w:val="ABGraphicTableText"/>
              <w:numPr>
                <w:ilvl w:val="0"/>
                <w:numId w:val="14"/>
              </w:numPr>
              <w:cnfStyle w:val="000000100000" w:firstRow="0" w:lastRow="0" w:firstColumn="0" w:lastColumn="0" w:oddVBand="0" w:evenVBand="0" w:oddHBand="1" w:evenHBand="0" w:firstRowFirstColumn="0" w:firstRowLastColumn="0" w:lastRowFirstColumn="0" w:lastRowLastColumn="0"/>
            </w:pPr>
            <w:r>
              <w:t xml:space="preserve">Retrospective bonus payment </w:t>
            </w:r>
            <w:proofErr w:type="gramStart"/>
            <w:r>
              <w:t>consisting</w:t>
            </w:r>
            <w:proofErr w:type="gramEnd"/>
            <w:r>
              <w:t xml:space="preserve"> of a percentage of healthcare cost savings achieved by the services</w:t>
            </w:r>
            <w:r w:rsidR="001733D9">
              <w:t>.</w:t>
            </w:r>
          </w:p>
        </w:tc>
        <w:tc>
          <w:tcPr>
            <w:tcW w:w="2520" w:type="dxa"/>
          </w:tcPr>
          <w:p w14:paraId="4CAAC490" w14:textId="55AF81A2" w:rsidR="005F3D47" w:rsidRDefault="005F3D47" w:rsidP="005F3D47">
            <w:pPr>
              <w:pStyle w:val="ABGraphicTableBullets"/>
              <w:numPr>
                <w:ilvl w:val="0"/>
                <w:numId w:val="0"/>
              </w:numPr>
              <w:cnfStyle w:val="000000100000" w:firstRow="0" w:lastRow="0" w:firstColumn="0" w:lastColumn="0" w:oddVBand="0" w:evenVBand="0" w:oddHBand="1" w:evenHBand="0" w:firstRowFirstColumn="0" w:firstRowLastColumn="0" w:lastRowFirstColumn="0" w:lastRowLastColumn="0"/>
            </w:pPr>
            <w:r>
              <w:t>Healthcare cost savings are calculated through:</w:t>
            </w:r>
          </w:p>
          <w:p w14:paraId="4E4398B6" w14:textId="1B942601" w:rsidR="005F3D47" w:rsidRDefault="005F3D47" w:rsidP="005F3D47">
            <w:pPr>
              <w:pStyle w:val="ABGraphicTableBullets"/>
              <w:cnfStyle w:val="000000100000" w:firstRow="0" w:lastRow="0" w:firstColumn="0" w:lastColumn="0" w:oddVBand="0" w:evenVBand="0" w:oddHBand="1" w:evenHBand="0" w:firstRowFirstColumn="0" w:firstRowLastColumn="0" w:lastRowFirstColumn="0" w:lastRowLastColumn="0"/>
            </w:pPr>
            <w:r>
              <w:t>Benefit-</w:t>
            </w:r>
            <w:r w:rsidR="0038538A">
              <w:t>c</w:t>
            </w:r>
            <w:r>
              <w:t>ost</w:t>
            </w:r>
            <w:r w:rsidR="0038538A">
              <w:t xml:space="preserve"> r</w:t>
            </w:r>
            <w:r>
              <w:t>atio (historical financial performance vs. current measurement period)</w:t>
            </w:r>
            <w:r w:rsidR="001733D9">
              <w:t>.</w:t>
            </w:r>
          </w:p>
          <w:p w14:paraId="0B6D5F67" w14:textId="6F12E6EC" w:rsidR="00D206C6" w:rsidRDefault="005F3D47" w:rsidP="005F3D47">
            <w:pPr>
              <w:pStyle w:val="ABGraphicTableBullets"/>
              <w:cnfStyle w:val="000000100000" w:firstRow="0" w:lastRow="0" w:firstColumn="0" w:lastColumn="0" w:oddVBand="0" w:evenVBand="0" w:oddHBand="1" w:evenHBand="0" w:firstRowFirstColumn="0" w:firstRowLastColumn="0" w:lastRowFirstColumn="0" w:lastRowLastColumn="0"/>
            </w:pPr>
            <w:r>
              <w:t xml:space="preserve">Per </w:t>
            </w:r>
            <w:r w:rsidR="0038538A">
              <w:t>m</w:t>
            </w:r>
            <w:r>
              <w:t xml:space="preserve">ember </w:t>
            </w:r>
            <w:r w:rsidR="0038538A">
              <w:t>p</w:t>
            </w:r>
            <w:r>
              <w:t xml:space="preserve">er </w:t>
            </w:r>
            <w:r w:rsidR="0038538A">
              <w:t>m</w:t>
            </w:r>
            <w:r>
              <w:t xml:space="preserve">onth </w:t>
            </w:r>
            <w:r w:rsidR="004B2B9A">
              <w:t xml:space="preserve">(PMPM) </w:t>
            </w:r>
            <w:r>
              <w:t>(risk-adjusted historical cost compared to measurement period that considers changes in participant mix)</w:t>
            </w:r>
            <w:r w:rsidR="001733D9">
              <w:t>.</w:t>
            </w:r>
          </w:p>
        </w:tc>
        <w:tc>
          <w:tcPr>
            <w:tcW w:w="2520" w:type="dxa"/>
          </w:tcPr>
          <w:p w14:paraId="61D45826" w14:textId="6A55D9C4" w:rsidR="00A4001F" w:rsidRDefault="00E7043A" w:rsidP="00491C6C">
            <w:pPr>
              <w:pStyle w:val="ABGraphicTableBullets"/>
              <w:numPr>
                <w:ilvl w:val="0"/>
                <w:numId w:val="0"/>
              </w:numPr>
              <w:cnfStyle w:val="000000100000" w:firstRow="0" w:lastRow="0" w:firstColumn="0" w:lastColumn="0" w:oddVBand="0" w:evenVBand="0" w:oddHBand="1" w:evenHBand="0" w:firstRowFirstColumn="0" w:firstRowLastColumn="0" w:lastRowFirstColumn="0" w:lastRowLastColumn="0"/>
            </w:pPr>
            <w:r w:rsidRPr="00E7043A">
              <w:t>Payment model is structured to incent</w:t>
            </w:r>
            <w:r w:rsidR="0038538A">
              <w:t>ivize</w:t>
            </w:r>
            <w:r w:rsidRPr="00E7043A">
              <w:t xml:space="preserve"> improved outcomes for cost and quality through larger retrospective bonus payments.</w:t>
            </w:r>
          </w:p>
          <w:p w14:paraId="18DF21BF" w14:textId="399C4F0B" w:rsidR="00D206C6" w:rsidRDefault="43CEA316" w:rsidP="00491C6C">
            <w:pPr>
              <w:pStyle w:val="ABGraphicTableBullets"/>
              <w:numPr>
                <w:ilvl w:val="0"/>
                <w:numId w:val="0"/>
              </w:numPr>
              <w:cnfStyle w:val="000000100000" w:firstRow="0" w:lastRow="0" w:firstColumn="0" w:lastColumn="0" w:oddVBand="0" w:evenVBand="0" w:oddHBand="1" w:evenHBand="0" w:firstRowFirstColumn="0" w:firstRowLastColumn="0" w:lastRowFirstColumn="0" w:lastRowLastColumn="0"/>
            </w:pPr>
            <w:r w:rsidRPr="00F815A9">
              <w:t>This model may be deployed for population-based models (e.g.</w:t>
            </w:r>
            <w:r w:rsidR="0038538A">
              <w:t>,</w:t>
            </w:r>
            <w:r w:rsidRPr="00F815A9">
              <w:t xml:space="preserve"> ACO) and condition-specific (e.g.</w:t>
            </w:r>
            <w:r w:rsidR="0038538A">
              <w:t>,</w:t>
            </w:r>
            <w:r w:rsidRPr="00F815A9">
              <w:t xml:space="preserve"> maternity episode).</w:t>
            </w:r>
            <w:r w:rsidRPr="00034670">
              <w:rPr>
                <w:rFonts w:ascii="Arial" w:eastAsia="Arial" w:hAnsi="Arial" w:cs="Arial"/>
                <w:color w:val="auto"/>
                <w:szCs w:val="18"/>
                <w:u w:val="single"/>
              </w:rPr>
              <w:t xml:space="preserve"> </w:t>
            </w:r>
            <w:r w:rsidRPr="00034670">
              <w:rPr>
                <w:color w:val="auto"/>
              </w:rPr>
              <w:t xml:space="preserve"> </w:t>
            </w:r>
          </w:p>
          <w:p w14:paraId="28BFB2F8" w14:textId="2F8BF8EC" w:rsidR="00D206C6" w:rsidRDefault="43CEA316" w:rsidP="00491C6C">
            <w:pPr>
              <w:pStyle w:val="ABGraphicTableBullets"/>
              <w:numPr>
                <w:ilvl w:val="0"/>
                <w:numId w:val="0"/>
              </w:numPr>
              <w:cnfStyle w:val="000000100000" w:firstRow="0" w:lastRow="0" w:firstColumn="0" w:lastColumn="0" w:oddVBand="0" w:evenVBand="0" w:oddHBand="1" w:evenHBand="0" w:firstRowFirstColumn="0" w:firstRowLastColumn="0" w:lastRowFirstColumn="0" w:lastRowLastColumn="0"/>
            </w:pPr>
            <w:r w:rsidRPr="352BD994">
              <w:rPr>
                <w:rFonts w:ascii="Arial" w:eastAsia="Arial" w:hAnsi="Arial" w:cs="Arial"/>
                <w:b/>
                <w:bCs/>
                <w:szCs w:val="18"/>
              </w:rPr>
              <w:t>Reference:</w:t>
            </w:r>
            <w:r w:rsidRPr="352BD994">
              <w:rPr>
                <w:rFonts w:ascii="Arial" w:eastAsia="Arial" w:hAnsi="Arial" w:cs="Arial"/>
                <w:szCs w:val="18"/>
              </w:rPr>
              <w:t xml:space="preserve"> Category 3 in the HCPLAN APM Framework.</w:t>
            </w:r>
            <w:r w:rsidRPr="352BD994">
              <w:rPr>
                <w:rFonts w:ascii="Arial" w:eastAsia="Arial" w:hAnsi="Arial" w:cs="Arial"/>
                <w:szCs w:val="18"/>
                <w:vertAlign w:val="superscript"/>
              </w:rPr>
              <w:t>2</w:t>
            </w:r>
          </w:p>
          <w:p w14:paraId="6086B1DA" w14:textId="40606A4E" w:rsidR="00D206C6" w:rsidRDefault="00D206C6" w:rsidP="00E7043A">
            <w:pPr>
              <w:pStyle w:val="ABGraphicTableBullets"/>
              <w:numPr>
                <w:ilvl w:val="0"/>
                <w:numId w:val="0"/>
              </w:numPr>
              <w:cnfStyle w:val="000000100000" w:firstRow="0" w:lastRow="0" w:firstColumn="0" w:lastColumn="0" w:oddVBand="0" w:evenVBand="0" w:oddHBand="1" w:evenHBand="0" w:firstRowFirstColumn="0" w:firstRowLastColumn="0" w:lastRowFirstColumn="0" w:lastRowLastColumn="0"/>
            </w:pPr>
          </w:p>
        </w:tc>
      </w:tr>
      <w:tr w:rsidR="00E7043A" w14:paraId="7BD40B8B" w14:textId="77777777" w:rsidTr="007D3570">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070" w:type="dxa"/>
          </w:tcPr>
          <w:p w14:paraId="50966D78" w14:textId="4E9B05D4" w:rsidR="00E7043A" w:rsidRDefault="003316DF" w:rsidP="00C17242">
            <w:pPr>
              <w:pStyle w:val="ABTableRowHeader"/>
            </w:pPr>
            <w:r>
              <w:t>Shared savings/shared risk (upside/downside)</w:t>
            </w:r>
          </w:p>
        </w:tc>
        <w:tc>
          <w:tcPr>
            <w:tcW w:w="2520" w:type="dxa"/>
          </w:tcPr>
          <w:p w14:paraId="18B2986C" w14:textId="24B72F5E" w:rsidR="00B00426" w:rsidRDefault="00B00426" w:rsidP="00B00426">
            <w:pPr>
              <w:pStyle w:val="ABGraphicTableText"/>
              <w:cnfStyle w:val="000000010000" w:firstRow="0" w:lastRow="0" w:firstColumn="0" w:lastColumn="0" w:oddVBand="0" w:evenVBand="0" w:oddHBand="0" w:evenHBand="1" w:firstRowFirstColumn="0" w:firstRowLastColumn="0" w:lastRowFirstColumn="0" w:lastRowLastColumn="0"/>
            </w:pPr>
            <w:r>
              <w:t>Layered payment structure</w:t>
            </w:r>
            <w:r w:rsidR="00E96D6A">
              <w:t>,</w:t>
            </w:r>
            <w:r>
              <w:t xml:space="preserve"> including: </w:t>
            </w:r>
          </w:p>
          <w:p w14:paraId="168E25CD" w14:textId="52C5AFA6" w:rsidR="00B00426" w:rsidRDefault="00B52E5E" w:rsidP="00602BCE">
            <w:pPr>
              <w:pStyle w:val="ABGraphicTableText"/>
              <w:numPr>
                <w:ilvl w:val="0"/>
                <w:numId w:val="15"/>
              </w:numPr>
              <w:cnfStyle w:val="000000010000" w:firstRow="0" w:lastRow="0" w:firstColumn="0" w:lastColumn="0" w:oddVBand="0" w:evenVBand="0" w:oddHBand="0" w:evenHBand="1" w:firstRowFirstColumn="0" w:firstRowLastColumn="0" w:lastRowFirstColumn="0" w:lastRowLastColumn="0"/>
            </w:pPr>
            <w:r>
              <w:t>L</w:t>
            </w:r>
            <w:r w:rsidR="00B00426">
              <w:t>imited reimbursement for services rendered</w:t>
            </w:r>
            <w:r w:rsidR="00E96D6A">
              <w:t>.</w:t>
            </w:r>
            <w:r w:rsidR="00B00426">
              <w:t xml:space="preserve"> </w:t>
            </w:r>
          </w:p>
          <w:p w14:paraId="664CF6A6" w14:textId="490D0F26" w:rsidR="00B00426" w:rsidRDefault="00B00426" w:rsidP="00602BCE">
            <w:pPr>
              <w:pStyle w:val="ABGraphicTableText"/>
              <w:numPr>
                <w:ilvl w:val="0"/>
                <w:numId w:val="15"/>
              </w:numPr>
              <w:cnfStyle w:val="000000010000" w:firstRow="0" w:lastRow="0" w:firstColumn="0" w:lastColumn="0" w:oddVBand="0" w:evenVBand="0" w:oddHBand="0" w:evenHBand="1" w:firstRowFirstColumn="0" w:firstRowLastColumn="0" w:lastRowFirstColumn="0" w:lastRowLastColumn="0"/>
            </w:pPr>
            <w:r>
              <w:t xml:space="preserve">Retrospective bonus payment </w:t>
            </w:r>
            <w:proofErr w:type="gramStart"/>
            <w:r>
              <w:t>consisting</w:t>
            </w:r>
            <w:proofErr w:type="gramEnd"/>
            <w:r>
              <w:t xml:space="preserve"> of a percentage of healthcare cost savings achieved by the services</w:t>
            </w:r>
            <w:r w:rsidR="00E96D6A">
              <w:t>.</w:t>
            </w:r>
          </w:p>
          <w:p w14:paraId="35F26870" w14:textId="150B02D8" w:rsidR="00E7043A" w:rsidRDefault="00B00426" w:rsidP="00602BCE">
            <w:pPr>
              <w:pStyle w:val="ABGraphicTableText"/>
              <w:numPr>
                <w:ilvl w:val="0"/>
                <w:numId w:val="15"/>
              </w:numPr>
              <w:cnfStyle w:val="000000010000" w:firstRow="0" w:lastRow="0" w:firstColumn="0" w:lastColumn="0" w:oddVBand="0" w:evenVBand="0" w:oddHBand="0" w:evenHBand="1" w:firstRowFirstColumn="0" w:firstRowLastColumn="0" w:lastRowFirstColumn="0" w:lastRowLastColumn="0"/>
            </w:pPr>
            <w:r>
              <w:t xml:space="preserve">Retrospective payback of service fees if healthcare cost savings </w:t>
            </w:r>
            <w:proofErr w:type="gramStart"/>
            <w:r>
              <w:t>is</w:t>
            </w:r>
            <w:proofErr w:type="gramEnd"/>
            <w:r>
              <w:t xml:space="preserve"> not achieved</w:t>
            </w:r>
            <w:r w:rsidR="00E96D6A">
              <w:t>.</w:t>
            </w:r>
          </w:p>
        </w:tc>
        <w:tc>
          <w:tcPr>
            <w:tcW w:w="2520" w:type="dxa"/>
          </w:tcPr>
          <w:p w14:paraId="53E33283" w14:textId="5092A455" w:rsidR="00734397" w:rsidRDefault="00734397" w:rsidP="00734397">
            <w:pPr>
              <w:pStyle w:val="ABGraphicTableBullets"/>
              <w:numPr>
                <w:ilvl w:val="0"/>
                <w:numId w:val="0"/>
              </w:numPr>
              <w:cnfStyle w:val="000000010000" w:firstRow="0" w:lastRow="0" w:firstColumn="0" w:lastColumn="0" w:oddVBand="0" w:evenVBand="0" w:oddHBand="0" w:evenHBand="1" w:firstRowFirstColumn="0" w:firstRowLastColumn="0" w:lastRowFirstColumn="0" w:lastRowLastColumn="0"/>
            </w:pPr>
            <w:r>
              <w:t>Important to assess readiness for managing risk</w:t>
            </w:r>
            <w:r w:rsidR="00E96D6A">
              <w:t>,</w:t>
            </w:r>
            <w:r>
              <w:t xml:space="preserve"> including:  </w:t>
            </w:r>
          </w:p>
          <w:p w14:paraId="4E15A9C6" w14:textId="089B8038" w:rsidR="00734397" w:rsidRDefault="00734397" w:rsidP="00602BCE">
            <w:pPr>
              <w:pStyle w:val="ABGraphicTableBullets"/>
              <w:numPr>
                <w:ilvl w:val="0"/>
                <w:numId w:val="16"/>
              </w:numPr>
              <w:cnfStyle w:val="000000010000" w:firstRow="0" w:lastRow="0" w:firstColumn="0" w:lastColumn="0" w:oddVBand="0" w:evenVBand="0" w:oddHBand="0" w:evenHBand="1" w:firstRowFirstColumn="0" w:firstRowLastColumn="0" w:lastRowFirstColumn="0" w:lastRowLastColumn="0"/>
            </w:pPr>
            <w:r>
              <w:t>Maturity of data reporting and infrastructure</w:t>
            </w:r>
            <w:r w:rsidR="00E96D6A">
              <w:t>.</w:t>
            </w:r>
          </w:p>
          <w:p w14:paraId="301EF722" w14:textId="42BDDB86" w:rsidR="00734397" w:rsidRDefault="00734397" w:rsidP="00602BCE">
            <w:pPr>
              <w:pStyle w:val="ABGraphicTableBullets"/>
              <w:numPr>
                <w:ilvl w:val="0"/>
                <w:numId w:val="16"/>
              </w:numPr>
              <w:cnfStyle w:val="000000010000" w:firstRow="0" w:lastRow="0" w:firstColumn="0" w:lastColumn="0" w:oddVBand="0" w:evenVBand="0" w:oddHBand="0" w:evenHBand="1" w:firstRowFirstColumn="0" w:firstRowLastColumn="0" w:lastRowFirstColumn="0" w:lastRowLastColumn="0"/>
            </w:pPr>
            <w:r>
              <w:t>Ability to measure and consistently demonstrate return on investment of services offered</w:t>
            </w:r>
            <w:r w:rsidR="00E96D6A">
              <w:t>.</w:t>
            </w:r>
            <w:r>
              <w:t xml:space="preserve"> </w:t>
            </w:r>
          </w:p>
          <w:p w14:paraId="2EFBA3E7" w14:textId="0B9B829D" w:rsidR="00734397" w:rsidRDefault="00734397" w:rsidP="00602BCE">
            <w:pPr>
              <w:pStyle w:val="ABGraphicTableBullets"/>
              <w:numPr>
                <w:ilvl w:val="0"/>
                <w:numId w:val="16"/>
              </w:numPr>
              <w:cnfStyle w:val="000000010000" w:firstRow="0" w:lastRow="0" w:firstColumn="0" w:lastColumn="0" w:oddVBand="0" w:evenVBand="0" w:oddHBand="0" w:evenHBand="1" w:firstRowFirstColumn="0" w:firstRowLastColumn="0" w:lastRowFirstColumn="0" w:lastRowLastColumn="0"/>
            </w:pPr>
            <w:r>
              <w:t xml:space="preserve">Sufficient capital available to manage potential paybacks associated with the downside risk if services underperform. </w:t>
            </w:r>
          </w:p>
          <w:p w14:paraId="2F9D7458" w14:textId="4AC06AE7" w:rsidR="00E7043A" w:rsidRDefault="00734397" w:rsidP="00734397">
            <w:pPr>
              <w:pStyle w:val="ABGraphicTableBullets"/>
              <w:numPr>
                <w:ilvl w:val="0"/>
                <w:numId w:val="0"/>
              </w:numPr>
              <w:cnfStyle w:val="000000010000" w:firstRow="0" w:lastRow="0" w:firstColumn="0" w:lastColumn="0" w:oddVBand="0" w:evenVBand="0" w:oddHBand="0" w:evenHBand="1" w:firstRowFirstColumn="0" w:firstRowLastColumn="0" w:lastRowFirstColumn="0" w:lastRowLastColumn="0"/>
            </w:pPr>
            <w:r>
              <w:t>Also important to consider value of payment structure to the organization such as the importance of bonus payments or more flexibility in payments to support population- or condition-specific programs.</w:t>
            </w:r>
          </w:p>
        </w:tc>
        <w:tc>
          <w:tcPr>
            <w:tcW w:w="2520" w:type="dxa"/>
          </w:tcPr>
          <w:p w14:paraId="43EED33D" w14:textId="56B51438" w:rsidR="00E7043A" w:rsidRPr="00E7043A" w:rsidRDefault="00130AA6" w:rsidP="00E7043A">
            <w:pPr>
              <w:pStyle w:val="ABGraphicTableBullets"/>
              <w:numPr>
                <w:ilvl w:val="0"/>
                <w:numId w:val="0"/>
              </w:numPr>
              <w:cnfStyle w:val="000000010000" w:firstRow="0" w:lastRow="0" w:firstColumn="0" w:lastColumn="0" w:oddVBand="0" w:evenVBand="0" w:oddHBand="0" w:evenHBand="1" w:firstRowFirstColumn="0" w:firstRowLastColumn="0" w:lastRowFirstColumn="0" w:lastRowLastColumn="0"/>
            </w:pPr>
            <w:r w:rsidRPr="00130AA6">
              <w:t>Payment model usually involves safeguard measures against unexpectedly high/catastrophic costs or unexpected changes in utilization.</w:t>
            </w:r>
          </w:p>
          <w:p w14:paraId="424C8892" w14:textId="278E60AC" w:rsidR="00E7043A" w:rsidRPr="00F815A9" w:rsidRDefault="65A18E35">
            <w:pPr>
              <w:pStyle w:val="ABGraphicTableBullets"/>
              <w:numPr>
                <w:ilvl w:val="0"/>
                <w:numId w:val="0"/>
              </w:numPr>
              <w:cnfStyle w:val="000000010000" w:firstRow="0" w:lastRow="0" w:firstColumn="0" w:lastColumn="0" w:oddVBand="0" w:evenVBand="0" w:oddHBand="0" w:evenHBand="1" w:firstRowFirstColumn="0" w:firstRowLastColumn="0" w:lastRowFirstColumn="0" w:lastRowLastColumn="0"/>
            </w:pPr>
            <w:r w:rsidRPr="00F815A9">
              <w:rPr>
                <w:rFonts w:ascii="Arial" w:eastAsia="Arial" w:hAnsi="Arial" w:cs="Arial"/>
                <w:b/>
                <w:szCs w:val="18"/>
              </w:rPr>
              <w:t>Reference:</w:t>
            </w:r>
            <w:r w:rsidRPr="00F815A9">
              <w:rPr>
                <w:rFonts w:ascii="Arial" w:eastAsia="Arial" w:hAnsi="Arial" w:cs="Arial"/>
                <w:szCs w:val="18"/>
              </w:rPr>
              <w:t xml:space="preserve"> Category 3 in the HCPLAN APM Framework.</w:t>
            </w:r>
            <w:r w:rsidRPr="00F815A9">
              <w:rPr>
                <w:rFonts w:ascii="Arial" w:eastAsia="Arial" w:hAnsi="Arial" w:cs="Arial"/>
                <w:szCs w:val="18"/>
                <w:vertAlign w:val="superscript"/>
              </w:rPr>
              <w:t>2</w:t>
            </w:r>
          </w:p>
          <w:p w14:paraId="46851DC6" w14:textId="0872AF60" w:rsidR="00E7043A" w:rsidRPr="00E7043A" w:rsidRDefault="00E7043A" w:rsidP="00E7043A">
            <w:pPr>
              <w:pStyle w:val="ABGraphicTableBullets"/>
              <w:numPr>
                <w:ilvl w:val="0"/>
                <w:numId w:val="0"/>
              </w:numPr>
              <w:cnfStyle w:val="000000010000" w:firstRow="0" w:lastRow="0" w:firstColumn="0" w:lastColumn="0" w:oddVBand="0" w:evenVBand="0" w:oddHBand="0" w:evenHBand="1" w:firstRowFirstColumn="0" w:firstRowLastColumn="0" w:lastRowFirstColumn="0" w:lastRowLastColumn="0"/>
            </w:pPr>
          </w:p>
        </w:tc>
      </w:tr>
      <w:tr w:rsidR="00130AA6" w14:paraId="41BF0E60" w14:textId="77777777" w:rsidTr="007D3570">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070" w:type="dxa"/>
          </w:tcPr>
          <w:p w14:paraId="669B0F12" w14:textId="3FC0BA99" w:rsidR="00130AA6" w:rsidRDefault="00423805" w:rsidP="00C17242">
            <w:pPr>
              <w:pStyle w:val="ABTableRowHeader"/>
            </w:pPr>
            <w:r>
              <w:t>Condition-specific bundled payment</w:t>
            </w:r>
          </w:p>
        </w:tc>
        <w:tc>
          <w:tcPr>
            <w:tcW w:w="2520" w:type="dxa"/>
          </w:tcPr>
          <w:p w14:paraId="7E11C10F" w14:textId="77777777" w:rsidR="00A40AA0" w:rsidRDefault="00A40AA0" w:rsidP="00A40AA0">
            <w:pPr>
              <w:pStyle w:val="ABGraphicTableText"/>
              <w:cnfStyle w:val="000000100000" w:firstRow="0" w:lastRow="0" w:firstColumn="0" w:lastColumn="0" w:oddVBand="0" w:evenVBand="0" w:oddHBand="1" w:evenHBand="0" w:firstRowFirstColumn="0" w:firstRowLastColumn="0" w:lastRowFirstColumn="0" w:lastRowLastColumn="0"/>
            </w:pPr>
            <w:r>
              <w:t xml:space="preserve">Single predetermined reimbursement amount to organization for all services related to a specific medical condition over a defined period, known as an episode of care. </w:t>
            </w:r>
          </w:p>
          <w:p w14:paraId="4A297C65" w14:textId="2E7A4D2E" w:rsidR="00A40AA0" w:rsidRDefault="00A40AA0" w:rsidP="00A40AA0">
            <w:pPr>
              <w:pStyle w:val="ABGraphicTableText"/>
              <w:cnfStyle w:val="000000100000" w:firstRow="0" w:lastRow="0" w:firstColumn="0" w:lastColumn="0" w:oddVBand="0" w:evenVBand="0" w:oddHBand="1" w:evenHBand="0" w:firstRowFirstColumn="0" w:firstRowLastColumn="0" w:lastRowFirstColumn="0" w:lastRowLastColumn="0"/>
            </w:pPr>
            <w:r>
              <w:t xml:space="preserve">Payment is made retrospectively </w:t>
            </w:r>
            <w:r w:rsidR="0038538A">
              <w:t xml:space="preserve">after the </w:t>
            </w:r>
            <w:r>
              <w:t xml:space="preserve">episode of care. </w:t>
            </w:r>
          </w:p>
          <w:p w14:paraId="659E2211" w14:textId="7DC05952" w:rsidR="00130AA6" w:rsidRDefault="00A40AA0" w:rsidP="00A40AA0">
            <w:pPr>
              <w:pStyle w:val="ABGraphicTableText"/>
              <w:cnfStyle w:val="000000100000" w:firstRow="0" w:lastRow="0" w:firstColumn="0" w:lastColumn="0" w:oddVBand="0" w:evenVBand="0" w:oddHBand="1" w:evenHBand="0" w:firstRowFirstColumn="0" w:firstRowLastColumn="0" w:lastRowFirstColumn="0" w:lastRowLastColumn="0"/>
            </w:pPr>
            <w:r>
              <w:t>Payment for services unrelated to the condition-specific bundled payment are reimbursed through traditional payment methodology or other forms of alternative payment models.</w:t>
            </w:r>
          </w:p>
        </w:tc>
        <w:tc>
          <w:tcPr>
            <w:tcW w:w="2520" w:type="dxa"/>
          </w:tcPr>
          <w:p w14:paraId="36B6BAEB" w14:textId="77777777" w:rsidR="00916C23" w:rsidRDefault="00916C23" w:rsidP="00916C23">
            <w:pPr>
              <w:pStyle w:val="ABGraphicTableBullets"/>
              <w:numPr>
                <w:ilvl w:val="0"/>
                <w:numId w:val="0"/>
              </w:numPr>
              <w:cnfStyle w:val="000000100000" w:firstRow="0" w:lastRow="0" w:firstColumn="0" w:lastColumn="0" w:oddVBand="0" w:evenVBand="0" w:oddHBand="1" w:evenHBand="0" w:firstRowFirstColumn="0" w:firstRowLastColumn="0" w:lastRowFirstColumn="0" w:lastRowLastColumn="0"/>
            </w:pPr>
            <w:r>
              <w:t>Payer establishes a target price for the bundled payment based on historical costs and other market factors.</w:t>
            </w:r>
          </w:p>
          <w:p w14:paraId="3EA4D9C4" w14:textId="7A1BC150" w:rsidR="00916C23" w:rsidRDefault="00916C23" w:rsidP="00916C23">
            <w:pPr>
              <w:pStyle w:val="ABGraphicTableBullets"/>
              <w:numPr>
                <w:ilvl w:val="0"/>
                <w:numId w:val="0"/>
              </w:numPr>
              <w:cnfStyle w:val="000000100000" w:firstRow="0" w:lastRow="0" w:firstColumn="0" w:lastColumn="0" w:oddVBand="0" w:evenVBand="0" w:oddHBand="1" w:evenHBand="0" w:firstRowFirstColumn="0" w:firstRowLastColumn="0" w:lastRowFirstColumn="0" w:lastRowLastColumn="0"/>
            </w:pPr>
            <w:r>
              <w:t>Providers coordinate care and manage costs within the episode, aiming to stay within the target price.</w:t>
            </w:r>
          </w:p>
          <w:p w14:paraId="095BE3B7" w14:textId="772CA162" w:rsidR="00916C23" w:rsidRDefault="0038538A" w:rsidP="00034670">
            <w:pPr>
              <w:pStyle w:val="ABGraphicTableBullets"/>
              <w:cnfStyle w:val="000000100000" w:firstRow="0" w:lastRow="0" w:firstColumn="0" w:lastColumn="0" w:oddVBand="0" w:evenVBand="0" w:oddHBand="1" w:evenHBand="0" w:firstRowFirstColumn="0" w:firstRowLastColumn="0" w:lastRowFirstColumn="0" w:lastRowLastColumn="0"/>
            </w:pPr>
            <w:r>
              <w:t xml:space="preserve">After the </w:t>
            </w:r>
            <w:r w:rsidR="00916C23">
              <w:t xml:space="preserve">episode of care, actual costs are compared to the target price. If costs exceed the target, provider may incur loss. If costs are below target, provider may keep </w:t>
            </w:r>
            <w:r w:rsidR="0F131B83" w:rsidRPr="00F815A9">
              <w:rPr>
                <w:rFonts w:ascii="Arial" w:eastAsia="Arial" w:hAnsi="Arial" w:cs="Arial"/>
                <w:szCs w:val="18"/>
              </w:rPr>
              <w:t>or share</w:t>
            </w:r>
            <w:r w:rsidR="388B2851">
              <w:t xml:space="preserve"> </w:t>
            </w:r>
            <w:r w:rsidR="00916C23">
              <w:t xml:space="preserve">savings. </w:t>
            </w:r>
          </w:p>
          <w:p w14:paraId="7E8DE207" w14:textId="5DCFECF4" w:rsidR="00130AA6" w:rsidRDefault="00916C23" w:rsidP="00DA22FA">
            <w:pPr>
              <w:pStyle w:val="ABGraphicTableBullets"/>
              <w:numPr>
                <w:ilvl w:val="0"/>
                <w:numId w:val="0"/>
              </w:numPr>
              <w:cnfStyle w:val="000000100000" w:firstRow="0" w:lastRow="0" w:firstColumn="0" w:lastColumn="0" w:oddVBand="0" w:evenVBand="0" w:oddHBand="1" w:evenHBand="0" w:firstRowFirstColumn="0" w:firstRowLastColumn="0" w:lastRowFirstColumn="0" w:lastRowLastColumn="0"/>
            </w:pPr>
            <w:r>
              <w:t>Industry examples:</w:t>
            </w:r>
            <w:r w:rsidR="00DA22FA">
              <w:t xml:space="preserve"> </w:t>
            </w:r>
            <w:r>
              <w:t>Maternal health, cardiac care.</w:t>
            </w:r>
          </w:p>
        </w:tc>
        <w:tc>
          <w:tcPr>
            <w:tcW w:w="2520" w:type="dxa"/>
          </w:tcPr>
          <w:p w14:paraId="7F254824" w14:textId="77777777" w:rsidR="001C4C67" w:rsidRDefault="001C4C67" w:rsidP="00F815A9">
            <w:pPr>
              <w:spacing w:before="60" w:after="60"/>
              <w:cnfStyle w:val="000000100000" w:firstRow="0" w:lastRow="0" w:firstColumn="0" w:lastColumn="0" w:oddVBand="0" w:evenVBand="0" w:oddHBand="1" w:evenHBand="0" w:firstRowFirstColumn="0" w:firstRowLastColumn="0" w:lastRowFirstColumn="0" w:lastRowLastColumn="0"/>
            </w:pPr>
            <w:r>
              <w:t>Payment model encourages providers to collaborate and coordinate care to improve efficiency and reduce costs.</w:t>
            </w:r>
          </w:p>
          <w:p w14:paraId="2425306A" w14:textId="4F5B1791" w:rsidR="00130AA6" w:rsidRPr="00130AA6" w:rsidRDefault="001C4C67" w:rsidP="00F815A9">
            <w:pPr>
              <w:spacing w:before="60" w:after="60"/>
              <w:cnfStyle w:val="000000100000" w:firstRow="0" w:lastRow="0" w:firstColumn="0" w:lastColumn="0" w:oddVBand="0" w:evenVBand="0" w:oddHBand="1" w:evenHBand="0" w:firstRowFirstColumn="0" w:firstRowLastColumn="0" w:lastRowFirstColumn="0" w:lastRowLastColumn="0"/>
            </w:pPr>
            <w:r w:rsidRPr="001C4C67">
              <w:rPr>
                <w:b/>
                <w:bCs/>
              </w:rPr>
              <w:t>Reference:</w:t>
            </w:r>
            <w:r>
              <w:t xml:space="preserve"> Category 4A in the HCPLAN APM Framework.</w:t>
            </w:r>
            <w:r w:rsidR="001733D9" w:rsidRPr="001733D9">
              <w:rPr>
                <w:vertAlign w:val="superscript"/>
              </w:rPr>
              <w:t>2</w:t>
            </w:r>
          </w:p>
        </w:tc>
      </w:tr>
      <w:tr w:rsidR="001C4C67" w14:paraId="681E33AA" w14:textId="77777777" w:rsidTr="007D3570">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070" w:type="dxa"/>
          </w:tcPr>
          <w:p w14:paraId="68D9D0BB" w14:textId="5F095055" w:rsidR="001C4C67" w:rsidRDefault="00D922B2" w:rsidP="00C17242">
            <w:pPr>
              <w:pStyle w:val="ABTableRowHeader"/>
            </w:pPr>
            <w:r>
              <w:lastRenderedPageBreak/>
              <w:t>Population-based payment</w:t>
            </w:r>
          </w:p>
        </w:tc>
        <w:tc>
          <w:tcPr>
            <w:tcW w:w="2520" w:type="dxa"/>
          </w:tcPr>
          <w:p w14:paraId="07298AD3" w14:textId="6278CA5F" w:rsidR="001C4C67" w:rsidRDefault="002D240F" w:rsidP="00A40AA0">
            <w:pPr>
              <w:pStyle w:val="ABGraphicTableText"/>
              <w:cnfStyle w:val="000000010000" w:firstRow="0" w:lastRow="0" w:firstColumn="0" w:lastColumn="0" w:oddVBand="0" w:evenVBand="0" w:oddHBand="0" w:evenHBand="1" w:firstRowFirstColumn="0" w:firstRowLastColumn="0" w:lastRowFirstColumn="0" w:lastRowLastColumn="0"/>
            </w:pPr>
            <w:r w:rsidRPr="002D240F">
              <w:t>Single predetermined fixed reimbursement amount to organization to manage the healthcare needs of a defined group of patients over a specific period.</w:t>
            </w:r>
          </w:p>
        </w:tc>
        <w:tc>
          <w:tcPr>
            <w:tcW w:w="2520" w:type="dxa"/>
          </w:tcPr>
          <w:p w14:paraId="667D5BE1" w14:textId="36AFFA97" w:rsidR="003A14FB" w:rsidRDefault="00840786" w:rsidP="003A14FB">
            <w:pPr>
              <w:pStyle w:val="ABGraphicTableBullets"/>
              <w:numPr>
                <w:ilvl w:val="0"/>
                <w:numId w:val="0"/>
              </w:numPr>
              <w:cnfStyle w:val="000000010000" w:firstRow="0" w:lastRow="0" w:firstColumn="0" w:lastColumn="0" w:oddVBand="0" w:evenVBand="0" w:oddHBand="0" w:evenHBand="1" w:firstRowFirstColumn="0" w:firstRowLastColumn="0" w:lastRowFirstColumn="0" w:lastRowLastColumn="0"/>
            </w:pPr>
            <w:r>
              <w:t>PMPM</w:t>
            </w:r>
            <w:r w:rsidR="003A14FB">
              <w:t xml:space="preserve"> is established based on population’s demographics and other factors such as historical cost, covering most care including behavioral</w:t>
            </w:r>
            <w:r w:rsidR="003D000B">
              <w:t xml:space="preserve"> health</w:t>
            </w:r>
            <w:r w:rsidR="003A14FB">
              <w:t xml:space="preserve"> and pharmacy costs.</w:t>
            </w:r>
          </w:p>
          <w:p w14:paraId="50D580EA" w14:textId="4EF8774D" w:rsidR="003A14FB" w:rsidRDefault="003A14FB" w:rsidP="003A14FB">
            <w:pPr>
              <w:pStyle w:val="ABGraphicTableBullets"/>
              <w:numPr>
                <w:ilvl w:val="0"/>
                <w:numId w:val="0"/>
              </w:numPr>
              <w:cnfStyle w:val="000000010000" w:firstRow="0" w:lastRow="0" w:firstColumn="0" w:lastColumn="0" w:oddVBand="0" w:evenVBand="0" w:oddHBand="0" w:evenHBand="1" w:firstRowFirstColumn="0" w:firstRowLastColumn="0" w:lastRowFirstColumn="0" w:lastRowLastColumn="0"/>
            </w:pPr>
            <w:r>
              <w:t>Providers are responsible for managing the health and healthcare costs of their assigned population.</w:t>
            </w:r>
          </w:p>
          <w:p w14:paraId="5FBF81EA" w14:textId="3321AE16" w:rsidR="001C4C67" w:rsidRDefault="003A14FB" w:rsidP="003A14FB">
            <w:pPr>
              <w:pStyle w:val="ABGraphicTableBullets"/>
              <w:numPr>
                <w:ilvl w:val="0"/>
                <w:numId w:val="0"/>
              </w:numPr>
              <w:cnfStyle w:val="000000010000" w:firstRow="0" w:lastRow="0" w:firstColumn="0" w:lastColumn="0" w:oddVBand="0" w:evenVBand="0" w:oddHBand="0" w:evenHBand="1" w:firstRowFirstColumn="0" w:firstRowLastColumn="0" w:lastRowFirstColumn="0" w:lastRowLastColumn="0"/>
            </w:pPr>
            <w:r>
              <w:t>PMPM may be adjusted upward or downward annually depending on performance. Upward adjustment rewards providers for improving quality and controlling costs.</w:t>
            </w:r>
          </w:p>
        </w:tc>
        <w:tc>
          <w:tcPr>
            <w:tcW w:w="2520" w:type="dxa"/>
          </w:tcPr>
          <w:p w14:paraId="3EC61ABB" w14:textId="364B51B4" w:rsidR="009B4DB1" w:rsidRDefault="00B05514" w:rsidP="00F815A9">
            <w:pPr>
              <w:spacing w:before="60" w:after="60"/>
              <w:cnfStyle w:val="000000010000" w:firstRow="0" w:lastRow="0" w:firstColumn="0" w:lastColumn="0" w:oddVBand="0" w:evenVBand="0" w:oddHBand="0" w:evenHBand="1" w:firstRowFirstColumn="0" w:firstRowLastColumn="0" w:lastRowFirstColumn="0" w:lastRowLastColumn="0"/>
            </w:pPr>
            <w:r>
              <w:t>Payment model encourages providers to develop more sophisticated patient-centered care delivery models, data analysis and reporting capabilities, administrative and referral processes.</w:t>
            </w:r>
          </w:p>
          <w:p w14:paraId="74822A49" w14:textId="77777777" w:rsidR="00B05514" w:rsidRDefault="00B05514" w:rsidP="00F815A9">
            <w:pPr>
              <w:spacing w:before="60" w:after="60"/>
              <w:cnfStyle w:val="000000010000" w:firstRow="0" w:lastRow="0" w:firstColumn="0" w:lastColumn="0" w:oddVBand="0" w:evenVBand="0" w:oddHBand="0" w:evenHBand="1" w:firstRowFirstColumn="0" w:firstRowLastColumn="0" w:lastRowFirstColumn="0" w:lastRowLastColumn="0"/>
            </w:pPr>
            <w:r>
              <w:t>Stop-loss mechanisms are implemented to protect providers from cost outliers.</w:t>
            </w:r>
          </w:p>
          <w:p w14:paraId="50E7CFDD" w14:textId="45AECA19" w:rsidR="001C4C67" w:rsidRDefault="00B05514" w:rsidP="00F815A9">
            <w:pPr>
              <w:spacing w:before="60" w:after="60"/>
              <w:cnfStyle w:val="000000010000" w:firstRow="0" w:lastRow="0" w:firstColumn="0" w:lastColumn="0" w:oddVBand="0" w:evenVBand="0" w:oddHBand="0" w:evenHBand="1" w:firstRowFirstColumn="0" w:firstRowLastColumn="0" w:lastRowFirstColumn="0" w:lastRowLastColumn="0"/>
            </w:pPr>
            <w:r w:rsidRPr="00B05514">
              <w:rPr>
                <w:b/>
                <w:bCs/>
              </w:rPr>
              <w:t>Reference:</w:t>
            </w:r>
            <w:r>
              <w:t xml:space="preserve"> Category 4B in the HCPLAN APM Framework.</w:t>
            </w:r>
            <w:r w:rsidRPr="00B05514">
              <w:rPr>
                <w:vertAlign w:val="superscript"/>
              </w:rPr>
              <w:t>2</w:t>
            </w:r>
          </w:p>
        </w:tc>
      </w:tr>
      <w:tr w:rsidR="00B05514" w14:paraId="6CB1D11A" w14:textId="77777777" w:rsidTr="007D3570">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070" w:type="dxa"/>
          </w:tcPr>
          <w:p w14:paraId="79A70CEB" w14:textId="7C242F70" w:rsidR="00B05514" w:rsidRDefault="00330588" w:rsidP="00C17242">
            <w:pPr>
              <w:pStyle w:val="ABTableRowHeader"/>
            </w:pPr>
            <w:r>
              <w:t>Outcomes-buying</w:t>
            </w:r>
          </w:p>
        </w:tc>
        <w:tc>
          <w:tcPr>
            <w:tcW w:w="2520" w:type="dxa"/>
          </w:tcPr>
          <w:p w14:paraId="7C528359" w14:textId="77777777" w:rsidR="00FB3B3E" w:rsidRDefault="00FB3B3E" w:rsidP="00FB3B3E">
            <w:pPr>
              <w:pStyle w:val="ABGraphicTableText"/>
              <w:cnfStyle w:val="000000100000" w:firstRow="0" w:lastRow="0" w:firstColumn="0" w:lastColumn="0" w:oddVBand="0" w:evenVBand="0" w:oddHBand="1" w:evenHBand="0" w:firstRowFirstColumn="0" w:firstRowLastColumn="0" w:lastRowFirstColumn="0" w:lastRowLastColumn="0"/>
            </w:pPr>
            <w:r>
              <w:t xml:space="preserve">Emerging payment </w:t>
            </w:r>
            <w:proofErr w:type="gramStart"/>
            <w:r>
              <w:t>model that</w:t>
            </w:r>
            <w:proofErr w:type="gramEnd"/>
            <w:r>
              <w:t xml:space="preserve"> emphasizes reimbursement solely based on predetermined health outcomes being achieved by an organization.</w:t>
            </w:r>
          </w:p>
          <w:p w14:paraId="18A7802B" w14:textId="52245B65" w:rsidR="00B05514" w:rsidRPr="002D240F" w:rsidRDefault="00FB3B3E" w:rsidP="00FB3B3E">
            <w:pPr>
              <w:pStyle w:val="ABGraphicTableText"/>
              <w:cnfStyle w:val="000000100000" w:firstRow="0" w:lastRow="0" w:firstColumn="0" w:lastColumn="0" w:oddVBand="0" w:evenVBand="0" w:oddHBand="1" w:evenHBand="0" w:firstRowFirstColumn="0" w:firstRowLastColumn="0" w:lastRowFirstColumn="0" w:lastRowLastColumn="0"/>
            </w:pPr>
            <w:r>
              <w:t>Retrospective payment is made once results are reconciled against agreed</w:t>
            </w:r>
            <w:r w:rsidR="003D000B">
              <w:t>-</w:t>
            </w:r>
            <w:r>
              <w:t>upon targets.</w:t>
            </w:r>
          </w:p>
        </w:tc>
        <w:tc>
          <w:tcPr>
            <w:tcW w:w="2520" w:type="dxa"/>
          </w:tcPr>
          <w:p w14:paraId="0635DFCB" w14:textId="77777777" w:rsidR="00C04645" w:rsidRDefault="00C04645" w:rsidP="00F815A9">
            <w:pPr>
              <w:spacing w:before="60" w:after="60"/>
              <w:cnfStyle w:val="000000100000" w:firstRow="0" w:lastRow="0" w:firstColumn="0" w:lastColumn="0" w:oddVBand="0" w:evenVBand="0" w:oddHBand="1" w:evenHBand="0" w:firstRowFirstColumn="0" w:firstRowLastColumn="0" w:lastRowFirstColumn="0" w:lastRowLastColumn="0"/>
            </w:pPr>
            <w:r>
              <w:t>Health outcomes, patient eligibility, data sets, and measurement processes are predetermined.</w:t>
            </w:r>
          </w:p>
          <w:p w14:paraId="68D284A9" w14:textId="1F2F4EB1" w:rsidR="00C04645" w:rsidRDefault="00C04645" w:rsidP="00F815A9">
            <w:pPr>
              <w:spacing w:before="60" w:after="60"/>
              <w:cnfStyle w:val="000000100000" w:firstRow="0" w:lastRow="0" w:firstColumn="0" w:lastColumn="0" w:oddVBand="0" w:evenVBand="0" w:oddHBand="1" w:evenHBand="0" w:firstRowFirstColumn="0" w:firstRowLastColumn="0" w:lastRowFirstColumn="0" w:lastRowLastColumn="0"/>
            </w:pPr>
            <w:r>
              <w:t xml:space="preserve">Payment value is pre-negotiated and may be issued as single sum for entire population or calculated as a </w:t>
            </w:r>
            <w:r w:rsidR="003D000B">
              <w:t>p</w:t>
            </w:r>
            <w:r>
              <w:t xml:space="preserve">er </w:t>
            </w:r>
            <w:r w:rsidR="003D000B">
              <w:t>p</w:t>
            </w:r>
            <w:r>
              <w:t xml:space="preserve">articipant payment for select group of individuals. </w:t>
            </w:r>
          </w:p>
          <w:p w14:paraId="58EF5A7E" w14:textId="2A8619D6" w:rsidR="00C04645" w:rsidRDefault="00C04645" w:rsidP="00F815A9">
            <w:pPr>
              <w:spacing w:before="60" w:after="60"/>
              <w:cnfStyle w:val="000000100000" w:firstRow="0" w:lastRow="0" w:firstColumn="0" w:lastColumn="0" w:oddVBand="0" w:evenVBand="0" w:oddHBand="1" w:evenHBand="0" w:firstRowFirstColumn="0" w:firstRowLastColumn="0" w:lastRowFirstColumn="0" w:lastRowLastColumn="0"/>
            </w:pPr>
            <w:r>
              <w:t>Important to assess readiness for managing risk</w:t>
            </w:r>
            <w:r w:rsidR="005608A1">
              <w:t>,</w:t>
            </w:r>
            <w:r>
              <w:t xml:space="preserve"> including:  </w:t>
            </w:r>
          </w:p>
          <w:p w14:paraId="716F6FDC" w14:textId="7A8D83FB" w:rsidR="00C04645" w:rsidRPr="00C04645" w:rsidRDefault="00C04645" w:rsidP="00F815A9">
            <w:pPr>
              <w:pStyle w:val="ListParagraph"/>
              <w:numPr>
                <w:ilvl w:val="0"/>
                <w:numId w:val="17"/>
              </w:numPr>
              <w:spacing w:before="60" w:after="60"/>
              <w:contextualSpacing w:val="0"/>
              <w:cnfStyle w:val="000000100000" w:firstRow="0" w:lastRow="0" w:firstColumn="0" w:lastColumn="0" w:oddVBand="0" w:evenVBand="0" w:oddHBand="1" w:evenHBand="0" w:firstRowFirstColumn="0" w:firstRowLastColumn="0" w:lastRowFirstColumn="0" w:lastRowLastColumn="0"/>
            </w:pPr>
            <w:r w:rsidRPr="00C04645">
              <w:t>Maturity of data reporting and infrastructure</w:t>
            </w:r>
            <w:r w:rsidR="005608A1">
              <w:t>.</w:t>
            </w:r>
          </w:p>
          <w:p w14:paraId="6CECC191" w14:textId="623CAE11" w:rsidR="00B05514" w:rsidRDefault="00C04645" w:rsidP="00967A64">
            <w:pPr>
              <w:pStyle w:val="ABGraphicTableBullets"/>
              <w:numPr>
                <w:ilvl w:val="0"/>
                <w:numId w:val="17"/>
              </w:numPr>
              <w:cnfStyle w:val="000000100000" w:firstRow="0" w:lastRow="0" w:firstColumn="0" w:lastColumn="0" w:oddVBand="0" w:evenVBand="0" w:oddHBand="1" w:evenHBand="0" w:firstRowFirstColumn="0" w:firstRowLastColumn="0" w:lastRowFirstColumn="0" w:lastRowLastColumn="0"/>
            </w:pPr>
            <w:r>
              <w:t>Ability to measure and consistently demonstrate return on investment of services offered</w:t>
            </w:r>
            <w:r w:rsidR="005608A1">
              <w:t>.</w:t>
            </w:r>
          </w:p>
        </w:tc>
        <w:tc>
          <w:tcPr>
            <w:tcW w:w="2520" w:type="dxa"/>
          </w:tcPr>
          <w:p w14:paraId="51CAD09C" w14:textId="55755245" w:rsidR="00B05514" w:rsidRDefault="006F4261" w:rsidP="00B05514">
            <w:pPr>
              <w:cnfStyle w:val="000000100000" w:firstRow="0" w:lastRow="0" w:firstColumn="0" w:lastColumn="0" w:oddVBand="0" w:evenVBand="0" w:oddHBand="1" w:evenHBand="0" w:firstRowFirstColumn="0" w:firstRowLastColumn="0" w:lastRowFirstColumn="0" w:lastRowLastColumn="0"/>
            </w:pPr>
            <w:r>
              <w:t>Payment model encourages reimbursement for outcomes that may not be included in traditional pay-for-performance models and creates aligned incentives for cross-sector partnerships to improve factors impacting total cost and quality of care.</w:t>
            </w:r>
          </w:p>
        </w:tc>
      </w:tr>
    </w:tbl>
    <w:p w14:paraId="646F3D3C" w14:textId="77777777" w:rsidR="009C2D84" w:rsidRDefault="009C2D84" w:rsidP="009C2D84">
      <w:pPr>
        <w:pStyle w:val="ABSectionText"/>
        <w:spacing w:before="0"/>
        <w:ind w:left="0"/>
        <w:rPr>
          <w:sz w:val="10"/>
          <w:szCs w:val="10"/>
        </w:rPr>
      </w:pPr>
    </w:p>
    <w:p w14:paraId="481EEE5E" w14:textId="77777777" w:rsidR="009C2D84" w:rsidRDefault="009C2D84" w:rsidP="009C2D84">
      <w:pPr>
        <w:pStyle w:val="ABSectionText"/>
        <w:spacing w:before="0"/>
        <w:ind w:left="0"/>
        <w:rPr>
          <w:sz w:val="10"/>
          <w:szCs w:val="10"/>
        </w:rPr>
      </w:pPr>
    </w:p>
    <w:p w14:paraId="6BA46BEE" w14:textId="2B5687D4" w:rsidR="009C2D84" w:rsidRPr="009C2D84" w:rsidRDefault="009C2D84" w:rsidP="00BB6BD3">
      <w:pPr>
        <w:pStyle w:val="Heading4"/>
        <w:ind w:hanging="1800"/>
      </w:pPr>
      <w:r w:rsidRPr="009C2D84">
        <w:t xml:space="preserve">Implementation </w:t>
      </w:r>
      <w:r w:rsidR="003D000B">
        <w:t>c</w:t>
      </w:r>
      <w:r w:rsidRPr="009C2D84">
        <w:t>omplexity</w:t>
      </w:r>
    </w:p>
    <w:p w14:paraId="6B040EB3" w14:textId="453BE89C" w:rsidR="009C4901" w:rsidRDefault="009C2D84" w:rsidP="00BB6BD3">
      <w:pPr>
        <w:pStyle w:val="ABSectionText"/>
        <w:ind w:left="720"/>
      </w:pPr>
      <w:r w:rsidRPr="009C2D84">
        <w:t>While alternative payment models offer a variety of options to sustain place-based community programs, their feasibility varies based on population size, administrative complexity, eligibility requirements, and provider-based care team and technological capabilities. Models that utilize risk structures such as shared savings, bundled payments, episodes of care, or population-based models typically require sufficient scale to achieve meaningful financial impact, which can limit applicability for smaller provider groups or narrowly focused populations or outcomes</w:t>
      </w:r>
      <w:r w:rsidR="009E7E0B">
        <w:t>.</w:t>
      </w:r>
      <w:r w:rsidRPr="009C2D84">
        <w:t xml:space="preserve"> In contrast, fixed</w:t>
      </w:r>
      <w:r w:rsidRPr="009C2D84">
        <w:noBreakHyphen/>
        <w:t>price contracts, capacity funding layered onto fee</w:t>
      </w:r>
      <w:r w:rsidRPr="009C2D84">
        <w:noBreakHyphen/>
        <w:t>for</w:t>
      </w:r>
      <w:r w:rsidRPr="009C2D84">
        <w:noBreakHyphen/>
        <w:t>service, and outcomes</w:t>
      </w:r>
      <w:r w:rsidRPr="009C2D84">
        <w:noBreakHyphen/>
        <w:t xml:space="preserve">aligned bonus payments can be deployed effectively with smaller populations or narrowly focused outcomes and interventions. </w:t>
      </w:r>
      <w:r w:rsidR="003D000B">
        <w:t>These contracts</w:t>
      </w:r>
      <w:r w:rsidR="003D000B" w:rsidRPr="009C2D84">
        <w:t xml:space="preserve"> </w:t>
      </w:r>
      <w:r w:rsidRPr="009C2D84">
        <w:t xml:space="preserve">often offer smaller financial </w:t>
      </w:r>
      <w:r w:rsidR="00785D7A" w:rsidRPr="009C2D84">
        <w:t>opportunities</w:t>
      </w:r>
      <w:r w:rsidRPr="009C2D84">
        <w:t xml:space="preserve"> but have lower initial data requirements, making them more accessible entry points for community</w:t>
      </w:r>
      <w:r w:rsidRPr="009C2D84">
        <w:noBreakHyphen/>
        <w:t xml:space="preserve">based and emerging programs. </w:t>
      </w:r>
    </w:p>
    <w:p w14:paraId="712716CB" w14:textId="3E756715" w:rsidR="00BB6BD3" w:rsidRDefault="009C2D84" w:rsidP="00BB6BD3">
      <w:pPr>
        <w:pStyle w:val="ABSectionText"/>
        <w:ind w:left="720"/>
      </w:pPr>
      <w:r w:rsidRPr="009C2D84">
        <w:t xml:space="preserve">As models move toward greater financial accountability, </w:t>
      </w:r>
      <w:r w:rsidR="00BB6BD3" w:rsidRPr="00BB6BD3">
        <w:t xml:space="preserve">financial opportunity increases along with </w:t>
      </w:r>
      <w:r w:rsidR="00381B9D">
        <w:t>the associated</w:t>
      </w:r>
      <w:r w:rsidR="00BB6BD3" w:rsidRPr="00BB6BD3">
        <w:t xml:space="preserve"> administrative burden</w:t>
      </w:r>
      <w:r w:rsidR="00381B9D">
        <w:t xml:space="preserve">. </w:t>
      </w:r>
      <w:r w:rsidR="003D000B">
        <w:t xml:space="preserve">Models with greater financial accountability </w:t>
      </w:r>
      <w:r w:rsidR="00BB6BD3" w:rsidRPr="00BB6BD3">
        <w:t>requir</w:t>
      </w:r>
      <w:r w:rsidR="00381B9D">
        <w:t>e</w:t>
      </w:r>
      <w:r w:rsidR="00BB6BD3" w:rsidRPr="00BB6BD3">
        <w:t xml:space="preserve"> more sophisticated data infrastructure, reporting, and contract management. As a result, organizations often benefit from a phased approach</w:t>
      </w:r>
      <w:r w:rsidR="00D25020">
        <w:t xml:space="preserve">. </w:t>
      </w:r>
      <w:r w:rsidR="00381B9D">
        <w:t xml:space="preserve">They </w:t>
      </w:r>
      <w:r w:rsidR="003D41ED">
        <w:t>start</w:t>
      </w:r>
      <w:r w:rsidR="00BB6BD3" w:rsidRPr="00BB6BD3">
        <w:t xml:space="preserve"> with lower</w:t>
      </w:r>
      <w:r w:rsidR="00BB6BD3" w:rsidRPr="00BB6BD3">
        <w:noBreakHyphen/>
        <w:t xml:space="preserve">burden APMs that support capacity building and measurement, </w:t>
      </w:r>
      <w:r w:rsidR="006F0F29">
        <w:t>then</w:t>
      </w:r>
      <w:r w:rsidR="003D000B">
        <w:t xml:space="preserve"> </w:t>
      </w:r>
      <w:r w:rsidR="003D000B">
        <w:lastRenderedPageBreak/>
        <w:t>they</w:t>
      </w:r>
      <w:r w:rsidR="006F0F29">
        <w:t xml:space="preserve"> </w:t>
      </w:r>
      <w:r w:rsidR="00BB6BD3" w:rsidRPr="00BB6BD3">
        <w:t>progress toward population</w:t>
      </w:r>
      <w:r w:rsidR="00BB6BD3" w:rsidRPr="00BB6BD3">
        <w:noBreakHyphen/>
        <w:t>based or risk</w:t>
      </w:r>
      <w:r w:rsidR="00BB6BD3" w:rsidRPr="00BB6BD3">
        <w:noBreakHyphen/>
        <w:t>bearing arrangements as scale, evidence, and operational readiness mature.</w:t>
      </w:r>
    </w:p>
    <w:p w14:paraId="12256BBD" w14:textId="77777777" w:rsidR="0019618A" w:rsidRDefault="0019618A" w:rsidP="00192AF6">
      <w:pPr>
        <w:pStyle w:val="ABSectionText"/>
        <w:ind w:left="0"/>
      </w:pPr>
    </w:p>
    <w:p w14:paraId="77D52878" w14:textId="49F04C00" w:rsidR="00535288" w:rsidRDefault="00313D1F" w:rsidP="0019618A">
      <w:pPr>
        <w:pStyle w:val="Heading4"/>
        <w:ind w:left="720"/>
      </w:pPr>
      <w:r>
        <w:t xml:space="preserve">Core </w:t>
      </w:r>
      <w:r w:rsidR="00D97BBE">
        <w:t>elements</w:t>
      </w:r>
      <w:r w:rsidR="007A4B4C">
        <w:t xml:space="preserve"> needed </w:t>
      </w:r>
      <w:r w:rsidR="00535288">
        <w:t>to ensure payer alignment</w:t>
      </w:r>
    </w:p>
    <w:p w14:paraId="3F9EE914" w14:textId="37EA2F2C" w:rsidR="006E686C" w:rsidRDefault="00651320" w:rsidP="00B03DF8">
      <w:pPr>
        <w:pStyle w:val="ABSectionText"/>
        <w:ind w:left="720"/>
      </w:pPr>
      <w:r>
        <w:t>As community-informed care models engage with these payment structures, their design must align with the requirements and constraints of APMs</w:t>
      </w:r>
      <w:r w:rsidR="003D000B">
        <w:t xml:space="preserve"> </w:t>
      </w:r>
      <w:r>
        <w:t>—</w:t>
      </w:r>
      <w:r w:rsidR="003D000B">
        <w:t xml:space="preserve"> </w:t>
      </w:r>
      <w:r>
        <w:t>particularly around outcomes, reimbursement pathways, and total cost of care. The elements below reflect how these expectations translate into practical considerations for designing services that can be sustained within value-based care.</w:t>
      </w:r>
    </w:p>
    <w:p w14:paraId="01CBA477" w14:textId="77777777" w:rsidR="00B03DF8" w:rsidRDefault="00B03DF8" w:rsidP="00B03DF8">
      <w:pPr>
        <w:pStyle w:val="ABSectionText"/>
        <w:ind w:left="720"/>
      </w:pPr>
    </w:p>
    <w:tbl>
      <w:tblPr>
        <w:tblStyle w:val="ListTable6Colorful-Accent3"/>
        <w:tblW w:w="9715" w:type="dxa"/>
        <w:tblInd w:w="725" w:type="dxa"/>
        <w:tblLook w:val="04A0" w:firstRow="1" w:lastRow="0" w:firstColumn="1" w:lastColumn="0" w:noHBand="0" w:noVBand="1"/>
      </w:tblPr>
      <w:tblGrid>
        <w:gridCol w:w="1615"/>
        <w:gridCol w:w="4050"/>
        <w:gridCol w:w="4050"/>
      </w:tblGrid>
      <w:tr w:rsidR="00143F30" w14:paraId="3D65848C" w14:textId="77777777" w:rsidTr="0044313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tcPr>
          <w:p w14:paraId="3E3D0518" w14:textId="64EE214F" w:rsidR="00143F30" w:rsidRDefault="00143F30" w:rsidP="009C2D84">
            <w:pPr>
              <w:pStyle w:val="ABSectionText"/>
              <w:ind w:left="0"/>
            </w:pPr>
            <w:r>
              <w:t>Element</w:t>
            </w:r>
          </w:p>
        </w:tc>
        <w:tc>
          <w:tcPr>
            <w:tcW w:w="4050" w:type="dxa"/>
          </w:tcPr>
          <w:p w14:paraId="45F9376B" w14:textId="100F5CAE" w:rsidR="00143F30" w:rsidRDefault="00143F30" w:rsidP="009C2D84">
            <w:pPr>
              <w:pStyle w:val="ABSectionText"/>
              <w:ind w:left="0"/>
              <w:cnfStyle w:val="100000000000" w:firstRow="1" w:lastRow="0" w:firstColumn="0" w:lastColumn="0" w:oddVBand="0" w:evenVBand="0" w:oddHBand="0" w:evenHBand="0" w:firstRowFirstColumn="0" w:firstRowLastColumn="0" w:lastRowFirstColumn="0" w:lastRowLastColumn="0"/>
            </w:pPr>
            <w:r>
              <w:t>Payer perspective</w:t>
            </w:r>
          </w:p>
        </w:tc>
        <w:tc>
          <w:tcPr>
            <w:tcW w:w="4050" w:type="dxa"/>
          </w:tcPr>
          <w:p w14:paraId="04CFEB93" w14:textId="11BAB428" w:rsidR="00143F30" w:rsidRDefault="00143F30" w:rsidP="009C2D84">
            <w:pPr>
              <w:pStyle w:val="ABSectionText"/>
              <w:ind w:left="0"/>
              <w:cnfStyle w:val="100000000000" w:firstRow="1" w:lastRow="0" w:firstColumn="0" w:lastColumn="0" w:oddVBand="0" w:evenVBand="0" w:oddHBand="0" w:evenHBand="0" w:firstRowFirstColumn="0" w:firstRowLastColumn="0" w:lastRowFirstColumn="0" w:lastRowLastColumn="0"/>
            </w:pPr>
            <w:r>
              <w:t>What this means for providers</w:t>
            </w:r>
          </w:p>
        </w:tc>
      </w:tr>
      <w:tr w:rsidR="00143F30" w14:paraId="23BC7E1D" w14:textId="77777777" w:rsidTr="004431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tcPr>
          <w:p w14:paraId="7A9AB5AA" w14:textId="4DCCE6B4" w:rsidR="00143F30" w:rsidRPr="00494A95" w:rsidRDefault="00143F30" w:rsidP="009C2D84">
            <w:pPr>
              <w:pStyle w:val="ABSectionText"/>
              <w:ind w:left="0"/>
              <w:rPr>
                <w:b/>
                <w:bCs w:val="0"/>
              </w:rPr>
            </w:pPr>
            <w:r w:rsidRPr="00494A95">
              <w:rPr>
                <w:b/>
                <w:bCs w:val="0"/>
              </w:rPr>
              <w:t>Braided funding</w:t>
            </w:r>
          </w:p>
        </w:tc>
        <w:tc>
          <w:tcPr>
            <w:tcW w:w="4050" w:type="dxa"/>
          </w:tcPr>
          <w:p w14:paraId="3BF358AA" w14:textId="6DE251F6" w:rsidR="00A8193D" w:rsidRDefault="008261C9" w:rsidP="00602BCE">
            <w:pPr>
              <w:pStyle w:val="ABSectionText"/>
              <w:numPr>
                <w:ilvl w:val="0"/>
                <w:numId w:val="19"/>
              </w:numPr>
              <w:spacing w:before="0"/>
              <w:ind w:left="403"/>
              <w:cnfStyle w:val="000000100000" w:firstRow="0" w:lastRow="0" w:firstColumn="0" w:lastColumn="0" w:oddVBand="0" w:evenVBand="0" w:oddHBand="1" w:evenHBand="0" w:firstRowFirstColumn="0" w:firstRowLastColumn="0" w:lastRowFirstColumn="0" w:lastRowLastColumn="0"/>
            </w:pPr>
            <w:r>
              <w:t>F</w:t>
            </w:r>
            <w:r w:rsidR="001726E4">
              <w:t>und co</w:t>
            </w:r>
            <w:r w:rsidR="00D969EA">
              <w:t>vered, eligible, high-value direct patient services</w:t>
            </w:r>
          </w:p>
          <w:p w14:paraId="1C382D8D" w14:textId="7FC1564A" w:rsidR="00143F30" w:rsidRDefault="008261C9" w:rsidP="00602BCE">
            <w:pPr>
              <w:pStyle w:val="ABSectionText"/>
              <w:numPr>
                <w:ilvl w:val="0"/>
                <w:numId w:val="19"/>
              </w:numPr>
              <w:spacing w:before="0"/>
              <w:ind w:left="403"/>
              <w:cnfStyle w:val="000000100000" w:firstRow="0" w:lastRow="0" w:firstColumn="0" w:lastColumn="0" w:oddVBand="0" w:evenVBand="0" w:oddHBand="1" w:evenHBand="0" w:firstRowFirstColumn="0" w:firstRowLastColumn="0" w:lastRowFirstColumn="0" w:lastRowLastColumn="0"/>
            </w:pPr>
            <w:r>
              <w:t>C</w:t>
            </w:r>
            <w:r w:rsidR="00D969EA">
              <w:t xml:space="preserve">urtail administrative fees that do not impact </w:t>
            </w:r>
            <w:r w:rsidR="00B52E5E">
              <w:t>medical loss ratio (MLR)</w:t>
            </w:r>
            <w:r w:rsidR="00D969EA">
              <w:t xml:space="preserve"> as much as possible</w:t>
            </w:r>
          </w:p>
        </w:tc>
        <w:tc>
          <w:tcPr>
            <w:tcW w:w="4050" w:type="dxa"/>
          </w:tcPr>
          <w:p w14:paraId="32383831" w14:textId="70DCC50A" w:rsidR="00143F30" w:rsidRDefault="00D969EA" w:rsidP="00B52E5E">
            <w:pPr>
              <w:pStyle w:val="ABSectionText"/>
              <w:spacing w:before="0"/>
              <w:ind w:left="0"/>
              <w:cnfStyle w:val="000000100000" w:firstRow="0" w:lastRow="0" w:firstColumn="0" w:lastColumn="0" w:oddVBand="0" w:evenVBand="0" w:oddHBand="1" w:evenHBand="0" w:firstRowFirstColumn="0" w:firstRowLastColumn="0" w:lastRowFirstColumn="0" w:lastRowLastColumn="0"/>
            </w:pPr>
            <w:r>
              <w:t xml:space="preserve">Define which services can be payer-funded versus which must be externally supported; design </w:t>
            </w:r>
            <w:r w:rsidR="00C5113F">
              <w:t>programs so core activities map to eligible reimbursement pathways</w:t>
            </w:r>
            <w:r w:rsidR="0028712C">
              <w:t>.</w:t>
            </w:r>
          </w:p>
        </w:tc>
      </w:tr>
      <w:tr w:rsidR="00143F30" w14:paraId="5FB8BB53" w14:textId="77777777" w:rsidTr="0044313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tcPr>
          <w:p w14:paraId="113ED47D" w14:textId="426FB3D9" w:rsidR="00143F30" w:rsidRPr="00494A95" w:rsidRDefault="00443131" w:rsidP="009C2D84">
            <w:pPr>
              <w:pStyle w:val="ABSectionText"/>
              <w:ind w:left="0"/>
              <w:rPr>
                <w:b/>
                <w:bCs w:val="0"/>
              </w:rPr>
            </w:pPr>
            <w:r w:rsidRPr="00494A95">
              <w:rPr>
                <w:b/>
                <w:bCs w:val="0"/>
              </w:rPr>
              <w:t>Measurable clinical impact</w:t>
            </w:r>
          </w:p>
        </w:tc>
        <w:tc>
          <w:tcPr>
            <w:tcW w:w="4050" w:type="dxa"/>
          </w:tcPr>
          <w:p w14:paraId="378212C1" w14:textId="77777777" w:rsidR="00A8193D" w:rsidRDefault="00443131" w:rsidP="00602BCE">
            <w:pPr>
              <w:pStyle w:val="ABSectionText"/>
              <w:numPr>
                <w:ilvl w:val="0"/>
                <w:numId w:val="19"/>
              </w:numPr>
              <w:spacing w:before="0"/>
              <w:ind w:left="403"/>
              <w:cnfStyle w:val="000000010000" w:firstRow="0" w:lastRow="0" w:firstColumn="0" w:lastColumn="0" w:oddVBand="0" w:evenVBand="0" w:oddHBand="0" w:evenHBand="1" w:firstRowFirstColumn="0" w:firstRowLastColumn="0" w:lastRowFirstColumn="0" w:lastRowLastColumn="0"/>
            </w:pPr>
            <w:r>
              <w:t xml:space="preserve">Investment in social needs must translate to demonstrated health </w:t>
            </w:r>
            <w:r w:rsidR="0009737C">
              <w:t>improvement.</w:t>
            </w:r>
          </w:p>
          <w:p w14:paraId="326A6A7F" w14:textId="36DDD720" w:rsidR="00143F30" w:rsidRDefault="00A8193D" w:rsidP="00602BCE">
            <w:pPr>
              <w:pStyle w:val="ABSectionText"/>
              <w:numPr>
                <w:ilvl w:val="0"/>
                <w:numId w:val="19"/>
              </w:numPr>
              <w:spacing w:before="0"/>
              <w:ind w:left="403"/>
              <w:cnfStyle w:val="000000010000" w:firstRow="0" w:lastRow="0" w:firstColumn="0" w:lastColumn="0" w:oddVBand="0" w:evenVBand="0" w:oddHBand="0" w:evenHBand="1" w:firstRowFirstColumn="0" w:firstRowLastColumn="0" w:lastRowFirstColumn="0" w:lastRowLastColumn="0"/>
            </w:pPr>
            <w:r>
              <w:t>R</w:t>
            </w:r>
            <w:r w:rsidR="0009737C">
              <w:t>equires reporting capabilities that tie participation and outcomes</w:t>
            </w:r>
          </w:p>
        </w:tc>
        <w:tc>
          <w:tcPr>
            <w:tcW w:w="4050" w:type="dxa"/>
          </w:tcPr>
          <w:p w14:paraId="37844E9F" w14:textId="3259C49E" w:rsidR="00143F30" w:rsidRDefault="004A790D" w:rsidP="005233B7">
            <w:pPr>
              <w:pStyle w:val="ABSectionText"/>
              <w:spacing w:before="0"/>
              <w:ind w:left="0"/>
              <w:cnfStyle w:val="000000010000" w:firstRow="0" w:lastRow="0" w:firstColumn="0" w:lastColumn="0" w:oddVBand="0" w:evenVBand="0" w:oddHBand="0" w:evenHBand="1" w:firstRowFirstColumn="0" w:firstRowLastColumn="0" w:lastRowFirstColumn="0" w:lastRowLastColumn="0"/>
            </w:pPr>
            <w:r w:rsidRPr="004A790D">
              <w:t>Build reporting infrastructure that links participation to outcomes and supports performance measurement</w:t>
            </w:r>
            <w:r w:rsidR="0028712C">
              <w:t>.</w:t>
            </w:r>
          </w:p>
        </w:tc>
      </w:tr>
      <w:tr w:rsidR="00143F30" w14:paraId="393303D4" w14:textId="77777777" w:rsidTr="004431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tcPr>
          <w:p w14:paraId="4CF735B2" w14:textId="566D26EC" w:rsidR="00143F30" w:rsidRPr="00494A95" w:rsidRDefault="008261C9" w:rsidP="009C2D84">
            <w:pPr>
              <w:pStyle w:val="ABSectionText"/>
              <w:ind w:left="0"/>
              <w:rPr>
                <w:b/>
                <w:bCs w:val="0"/>
              </w:rPr>
            </w:pPr>
            <w:r w:rsidRPr="00494A95">
              <w:rPr>
                <w:b/>
                <w:bCs w:val="0"/>
              </w:rPr>
              <w:t>FFS billing for applicable covered services</w:t>
            </w:r>
          </w:p>
        </w:tc>
        <w:tc>
          <w:tcPr>
            <w:tcW w:w="4050" w:type="dxa"/>
          </w:tcPr>
          <w:p w14:paraId="7AB66AEE" w14:textId="77777777" w:rsidR="00B52E5E" w:rsidRPr="00B52E5E" w:rsidRDefault="00B52E5E" w:rsidP="00B52E5E">
            <w:pPr>
              <w:pStyle w:val="ABSectionText"/>
              <w:numPr>
                <w:ilvl w:val="0"/>
                <w:numId w:val="19"/>
              </w:numPr>
              <w:spacing w:before="0"/>
              <w:ind w:left="403"/>
              <w:cnfStyle w:val="000000100000" w:firstRow="0" w:lastRow="0" w:firstColumn="0" w:lastColumn="0" w:oddVBand="0" w:evenVBand="0" w:oddHBand="1" w:evenHBand="0" w:firstRowFirstColumn="0" w:firstRowLastColumn="0" w:lastRowFirstColumn="0" w:lastRowLastColumn="0"/>
            </w:pPr>
            <w:r w:rsidRPr="00B52E5E">
              <w:t>Services must flow through established reimbursement pathways, such as chronic care management (CCM) programs, community health worker (CHW) services, "in lieu of services and settings" (ILOS), and Medicaid waivers where possible</w:t>
            </w:r>
          </w:p>
          <w:p w14:paraId="42D3BFA3" w14:textId="7CE83023" w:rsidR="00143F30" w:rsidRPr="00DC07F1" w:rsidRDefault="00DC07F1" w:rsidP="00602BCE">
            <w:pPr>
              <w:pStyle w:val="ABSectionText"/>
              <w:numPr>
                <w:ilvl w:val="0"/>
                <w:numId w:val="19"/>
              </w:numPr>
              <w:spacing w:before="0"/>
              <w:ind w:left="403"/>
              <w:cnfStyle w:val="000000100000" w:firstRow="0" w:lastRow="0" w:firstColumn="0" w:lastColumn="0" w:oddVBand="0" w:evenVBand="0" w:oddHBand="1" w:evenHBand="0" w:firstRowFirstColumn="0" w:firstRowLastColumn="0" w:lastRowFirstColumn="0" w:lastRowLastColumn="0"/>
            </w:pPr>
            <w:r>
              <w:t>Billable provider codes are automatically attributed to medical cost for MLR purposes</w:t>
            </w:r>
          </w:p>
        </w:tc>
        <w:tc>
          <w:tcPr>
            <w:tcW w:w="4050" w:type="dxa"/>
          </w:tcPr>
          <w:p w14:paraId="506B9F1D" w14:textId="403D7414" w:rsidR="00143F30" w:rsidRDefault="00DC07F1" w:rsidP="00B52E5E">
            <w:pPr>
              <w:pStyle w:val="ABSectionText"/>
              <w:spacing w:before="0"/>
              <w:ind w:left="0"/>
              <w:cnfStyle w:val="000000100000" w:firstRow="0" w:lastRow="0" w:firstColumn="0" w:lastColumn="0" w:oddVBand="0" w:evenVBand="0" w:oddHBand="1" w:evenHBand="0" w:firstRowFirstColumn="0" w:firstRowLastColumn="0" w:lastRowFirstColumn="0" w:lastRowLastColumn="0"/>
            </w:pPr>
            <w:r>
              <w:t>Embed services into provider workflows and E</w:t>
            </w:r>
            <w:r w:rsidR="0028712C">
              <w:t>H</w:t>
            </w:r>
            <w:r>
              <w:t>Rs to enable consistent, scalable billing and documentation</w:t>
            </w:r>
            <w:r w:rsidR="0028712C">
              <w:t>.</w:t>
            </w:r>
          </w:p>
        </w:tc>
      </w:tr>
      <w:tr w:rsidR="00143F30" w14:paraId="10953DAD" w14:textId="77777777" w:rsidTr="0044313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tcPr>
          <w:p w14:paraId="7526C044" w14:textId="06D99829" w:rsidR="00143F30" w:rsidRPr="00494A95" w:rsidRDefault="00DC07F1" w:rsidP="009C2D84">
            <w:pPr>
              <w:pStyle w:val="ABSectionText"/>
              <w:ind w:left="0"/>
              <w:rPr>
                <w:b/>
                <w:bCs w:val="0"/>
              </w:rPr>
            </w:pPr>
            <w:r w:rsidRPr="00494A95">
              <w:rPr>
                <w:b/>
                <w:bCs w:val="0"/>
              </w:rPr>
              <w:t>Accurate risk adjustment</w:t>
            </w:r>
          </w:p>
        </w:tc>
        <w:tc>
          <w:tcPr>
            <w:tcW w:w="4050" w:type="dxa"/>
          </w:tcPr>
          <w:p w14:paraId="6AAAF240" w14:textId="59C61DE0" w:rsidR="00143F30" w:rsidRDefault="00900195" w:rsidP="00602BCE">
            <w:pPr>
              <w:pStyle w:val="ABSectionText"/>
              <w:numPr>
                <w:ilvl w:val="0"/>
                <w:numId w:val="19"/>
              </w:numPr>
              <w:spacing w:before="0"/>
              <w:ind w:left="403"/>
              <w:cnfStyle w:val="000000010000" w:firstRow="0" w:lastRow="0" w:firstColumn="0" w:lastColumn="0" w:oddVBand="0" w:evenVBand="0" w:oddHBand="0" w:evenHBand="1" w:firstRowFirstColumn="0" w:firstRowLastColumn="0" w:lastRowFirstColumn="0" w:lastRowLastColumn="0"/>
            </w:pPr>
            <w:r>
              <w:t>Properly coded</w:t>
            </w:r>
            <w:r w:rsidR="002B4747">
              <w:t xml:space="preserve"> </w:t>
            </w:r>
            <w:r w:rsidR="00EB0B50">
              <w:t>diagnoses and risk</w:t>
            </w:r>
            <w:r w:rsidDel="00096957">
              <w:t xml:space="preserve"> </w:t>
            </w:r>
            <w:r>
              <w:t xml:space="preserve">enable proper payment </w:t>
            </w:r>
            <w:r w:rsidR="00652941">
              <w:t>for anticipated medical costs</w:t>
            </w:r>
          </w:p>
        </w:tc>
        <w:tc>
          <w:tcPr>
            <w:tcW w:w="4050" w:type="dxa"/>
          </w:tcPr>
          <w:p w14:paraId="3B1C83B3" w14:textId="48548396" w:rsidR="00143F30" w:rsidRDefault="00FA691C" w:rsidP="00B52E5E">
            <w:pPr>
              <w:pStyle w:val="ABSectionText"/>
              <w:spacing w:before="0"/>
              <w:ind w:left="0"/>
              <w:cnfStyle w:val="000000010000" w:firstRow="0" w:lastRow="0" w:firstColumn="0" w:lastColumn="0" w:oddVBand="0" w:evenVBand="0" w:oddHBand="0" w:evenHBand="1" w:firstRowFirstColumn="0" w:firstRowLastColumn="0" w:lastRowFirstColumn="0" w:lastRowLastColumn="0"/>
            </w:pPr>
            <w:r>
              <w:t>Standardize documentation and coding practices to accurately capture the acuity of patients</w:t>
            </w:r>
            <w:r w:rsidR="00EF40CB">
              <w:t xml:space="preserve"> on an annual basis</w:t>
            </w:r>
            <w:r w:rsidR="0028712C">
              <w:t>.</w:t>
            </w:r>
          </w:p>
        </w:tc>
      </w:tr>
      <w:tr w:rsidR="00143F30" w14:paraId="190FDBB1" w14:textId="77777777" w:rsidTr="00B52E5E">
        <w:trPr>
          <w:cnfStyle w:val="000000100000" w:firstRow="0" w:lastRow="0" w:firstColumn="0" w:lastColumn="0" w:oddVBand="0" w:evenVBand="0" w:oddHBand="1" w:evenHBand="0" w:firstRowFirstColumn="0" w:firstRowLastColumn="0" w:lastRowFirstColumn="0" w:lastRowLastColumn="0"/>
          <w:trHeight w:val="1683"/>
        </w:trPr>
        <w:tc>
          <w:tcPr>
            <w:cnfStyle w:val="001000000000" w:firstRow="0" w:lastRow="0" w:firstColumn="1" w:lastColumn="0" w:oddVBand="0" w:evenVBand="0" w:oddHBand="0" w:evenHBand="0" w:firstRowFirstColumn="0" w:firstRowLastColumn="0" w:lastRowFirstColumn="0" w:lastRowLastColumn="0"/>
            <w:tcW w:w="1615" w:type="dxa"/>
          </w:tcPr>
          <w:p w14:paraId="486BC8F3" w14:textId="3C23FC08" w:rsidR="00143F30" w:rsidRPr="00494A95" w:rsidRDefault="003E4259" w:rsidP="009C2D84">
            <w:pPr>
              <w:pStyle w:val="ABSectionText"/>
              <w:ind w:left="0"/>
              <w:rPr>
                <w:b/>
                <w:bCs w:val="0"/>
              </w:rPr>
            </w:pPr>
            <w:r w:rsidRPr="00494A95">
              <w:rPr>
                <w:b/>
                <w:bCs w:val="0"/>
              </w:rPr>
              <w:t>Alignment with existing VBC models</w:t>
            </w:r>
          </w:p>
        </w:tc>
        <w:tc>
          <w:tcPr>
            <w:tcW w:w="4050" w:type="dxa"/>
          </w:tcPr>
          <w:p w14:paraId="416ED9C0" w14:textId="1846DD61" w:rsidR="00143F30" w:rsidRDefault="002A449A" w:rsidP="00602BCE">
            <w:pPr>
              <w:pStyle w:val="ABSectionText"/>
              <w:numPr>
                <w:ilvl w:val="0"/>
                <w:numId w:val="19"/>
              </w:numPr>
              <w:spacing w:before="0"/>
              <w:ind w:left="403"/>
              <w:cnfStyle w:val="000000100000" w:firstRow="0" w:lastRow="0" w:firstColumn="0" w:lastColumn="0" w:oddVBand="0" w:evenVBand="0" w:oddHBand="1" w:evenHBand="0" w:firstRowFirstColumn="0" w:firstRowLastColumn="0" w:lastRowFirstColumn="0" w:lastRowLastColumn="0"/>
            </w:pPr>
            <w:r>
              <w:t xml:space="preserve">Use of existing standardized and scaled VBC models is an </w:t>
            </w:r>
            <w:r w:rsidR="00B52E5E">
              <w:t>easy</w:t>
            </w:r>
            <w:r>
              <w:t xml:space="preserve"> resource lift, reducing challenges around measurement and attribution</w:t>
            </w:r>
          </w:p>
          <w:p w14:paraId="6A08E778" w14:textId="1EBBC850" w:rsidR="002A449A" w:rsidRPr="0028712C" w:rsidRDefault="00AF0EAE" w:rsidP="00B52E5E">
            <w:pPr>
              <w:pStyle w:val="ABSectionText"/>
              <w:numPr>
                <w:ilvl w:val="0"/>
                <w:numId w:val="19"/>
              </w:numPr>
              <w:spacing w:before="0"/>
              <w:ind w:left="403"/>
              <w:cnfStyle w:val="000000100000" w:firstRow="0" w:lastRow="0" w:firstColumn="0" w:lastColumn="0" w:oddVBand="0" w:evenVBand="0" w:oddHBand="1" w:evenHBand="0" w:firstRowFirstColumn="0" w:firstRowLastColumn="0" w:lastRowFirstColumn="0" w:lastRowLastColumn="0"/>
            </w:pPr>
            <w:r>
              <w:t>Experienced provider organizations are ideal partners to test innovative programs and models and move further along the VBC continuum</w:t>
            </w:r>
          </w:p>
        </w:tc>
        <w:tc>
          <w:tcPr>
            <w:tcW w:w="4050" w:type="dxa"/>
          </w:tcPr>
          <w:p w14:paraId="72A4D496" w14:textId="521F8B41" w:rsidR="00143F30" w:rsidRDefault="00AF0EAE" w:rsidP="00B52E5E">
            <w:pPr>
              <w:pStyle w:val="ABSectionText"/>
              <w:spacing w:before="0"/>
              <w:ind w:left="0"/>
              <w:cnfStyle w:val="000000100000" w:firstRow="0" w:lastRow="0" w:firstColumn="0" w:lastColumn="0" w:oddVBand="0" w:evenVBand="0" w:oddHBand="1" w:evenHBand="0" w:firstRowFirstColumn="0" w:firstRowLastColumn="0" w:lastRowFirstColumn="0" w:lastRowLastColumn="0"/>
            </w:pPr>
            <w:r>
              <w:t>Develop VBC infrastructure (e.g.</w:t>
            </w:r>
            <w:r w:rsidR="0028712C">
              <w:t>,</w:t>
            </w:r>
            <w:r>
              <w:t xml:space="preserve"> enabling tech</w:t>
            </w:r>
            <w:r w:rsidR="0028712C">
              <w:t>nology</w:t>
            </w:r>
            <w:r>
              <w:t xml:space="preserve">, administrative support, team-based care) and demonstrate successful </w:t>
            </w:r>
            <w:r w:rsidR="001B2935">
              <w:t>partnership</w:t>
            </w:r>
            <w:r>
              <w:t xml:space="preserve"> in standard VBC models</w:t>
            </w:r>
            <w:r w:rsidR="00E82F2E">
              <w:t xml:space="preserve">. Many standard models have flexibility to integrate high-value services. </w:t>
            </w:r>
          </w:p>
        </w:tc>
      </w:tr>
      <w:tr w:rsidR="001B2935" w14:paraId="460FDA75" w14:textId="77777777" w:rsidTr="0044313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tcPr>
          <w:p w14:paraId="04FBD7CF" w14:textId="3D410601" w:rsidR="001B2935" w:rsidRPr="00494A95" w:rsidRDefault="00D85002" w:rsidP="009C2D84">
            <w:pPr>
              <w:pStyle w:val="ABSectionText"/>
              <w:ind w:left="0"/>
              <w:rPr>
                <w:b/>
                <w:bCs w:val="0"/>
              </w:rPr>
            </w:pPr>
            <w:r>
              <w:rPr>
                <w:b/>
                <w:bCs w:val="0"/>
              </w:rPr>
              <w:t xml:space="preserve">Clear path to </w:t>
            </w:r>
            <w:r w:rsidR="00997DA9">
              <w:rPr>
                <w:b/>
                <w:bCs w:val="0"/>
              </w:rPr>
              <w:t>TCOC (</w:t>
            </w:r>
            <w:r>
              <w:rPr>
                <w:b/>
                <w:bCs w:val="0"/>
              </w:rPr>
              <w:t>total cost of care</w:t>
            </w:r>
            <w:r w:rsidR="00997DA9">
              <w:rPr>
                <w:b/>
                <w:bCs w:val="0"/>
              </w:rPr>
              <w:t>)</w:t>
            </w:r>
            <w:r>
              <w:rPr>
                <w:b/>
                <w:bCs w:val="0"/>
              </w:rPr>
              <w:t xml:space="preserve"> improvement</w:t>
            </w:r>
          </w:p>
        </w:tc>
        <w:tc>
          <w:tcPr>
            <w:tcW w:w="4050" w:type="dxa"/>
          </w:tcPr>
          <w:p w14:paraId="4235AC50" w14:textId="73FDB339" w:rsidR="001B2935" w:rsidRDefault="00D85002" w:rsidP="00602BCE">
            <w:pPr>
              <w:pStyle w:val="ABSectionText"/>
              <w:numPr>
                <w:ilvl w:val="0"/>
                <w:numId w:val="19"/>
              </w:numPr>
              <w:spacing w:before="0"/>
              <w:ind w:left="403"/>
              <w:cnfStyle w:val="000000010000" w:firstRow="0" w:lastRow="0" w:firstColumn="0" w:lastColumn="0" w:oddVBand="0" w:evenVBand="0" w:oddHBand="0" w:evenHBand="1" w:firstRowFirstColumn="0" w:firstRowLastColumn="0" w:lastRowFirstColumn="0" w:lastRowLastColumn="0"/>
            </w:pPr>
            <w:r>
              <w:t xml:space="preserve">Any prospective payments/investments or increases to population-based payments </w:t>
            </w:r>
            <w:r w:rsidR="00A22D0C">
              <w:t xml:space="preserve">must be offset with savings in </w:t>
            </w:r>
            <w:r w:rsidR="0028712C">
              <w:t>total cost of care (</w:t>
            </w:r>
            <w:r w:rsidR="00997DA9">
              <w:t>TCOC</w:t>
            </w:r>
            <w:r w:rsidR="0028712C">
              <w:t>)</w:t>
            </w:r>
          </w:p>
          <w:p w14:paraId="4C92D27A" w14:textId="68D1D18E" w:rsidR="00A22D0C" w:rsidRDefault="00A22D0C" w:rsidP="00602BCE">
            <w:pPr>
              <w:pStyle w:val="ABSectionText"/>
              <w:numPr>
                <w:ilvl w:val="0"/>
                <w:numId w:val="19"/>
              </w:numPr>
              <w:spacing w:before="0"/>
              <w:ind w:left="403"/>
              <w:cnfStyle w:val="000000010000" w:firstRow="0" w:lastRow="0" w:firstColumn="0" w:lastColumn="0" w:oddVBand="0" w:evenVBand="0" w:oddHBand="0" w:evenHBand="1" w:firstRowFirstColumn="0" w:firstRowLastColumn="0" w:lastRowFirstColumn="0" w:lastRowLastColumn="0"/>
            </w:pPr>
            <w:r>
              <w:t>Programs that break even may be s</w:t>
            </w:r>
            <w:r w:rsidR="002F3AEF">
              <w:t>upported after considering the value to the member and potential additional value levers (e.g.</w:t>
            </w:r>
            <w:r w:rsidR="0028712C">
              <w:t>,</w:t>
            </w:r>
            <w:r w:rsidR="002F3AEF">
              <w:t xml:space="preserve"> HEDIS/S</w:t>
            </w:r>
            <w:r w:rsidR="0028712C">
              <w:t>tars</w:t>
            </w:r>
            <w:r w:rsidR="002F3AEF">
              <w:t xml:space="preserve">, </w:t>
            </w:r>
            <w:r w:rsidR="0028712C">
              <w:t xml:space="preserve">Net Promoter Score </w:t>
            </w:r>
            <w:r w:rsidR="002F3AEF">
              <w:t>NPS</w:t>
            </w:r>
            <w:r w:rsidR="0028712C">
              <w:t>]</w:t>
            </w:r>
            <w:r w:rsidR="002F3AEF">
              <w:t>, differentiator)</w:t>
            </w:r>
          </w:p>
        </w:tc>
        <w:tc>
          <w:tcPr>
            <w:tcW w:w="4050" w:type="dxa"/>
          </w:tcPr>
          <w:p w14:paraId="37A16797" w14:textId="3177B093" w:rsidR="001B2935" w:rsidRDefault="00997DA9" w:rsidP="00B52E5E">
            <w:pPr>
              <w:pStyle w:val="ABSectionText"/>
              <w:spacing w:before="0"/>
              <w:ind w:left="0"/>
              <w:cnfStyle w:val="000000010000" w:firstRow="0" w:lastRow="0" w:firstColumn="0" w:lastColumn="0" w:oddVBand="0" w:evenVBand="0" w:oddHBand="0" w:evenHBand="1" w:firstRowFirstColumn="0" w:firstRowLastColumn="0" w:lastRowFirstColumn="0" w:lastRowLastColumn="0"/>
            </w:pPr>
            <w:r>
              <w:t xml:space="preserve">Define and communicate pathways to TCOC reduction </w:t>
            </w:r>
            <w:r w:rsidR="00D6092B">
              <w:t xml:space="preserve">for programs that require </w:t>
            </w:r>
            <w:r w:rsidR="00555006">
              <w:t>funding</w:t>
            </w:r>
            <w:r w:rsidR="00D6092B">
              <w:t>. Demonstrate</w:t>
            </w:r>
            <w:r w:rsidR="00886D01">
              <w:t xml:space="preserve"> strategic value around metrics </w:t>
            </w:r>
            <w:r w:rsidR="0028712C">
              <w:t xml:space="preserve">that are </w:t>
            </w:r>
            <w:r w:rsidR="00886D01">
              <w:t>important to payers</w:t>
            </w:r>
            <w:r w:rsidR="0028712C">
              <w:t>.</w:t>
            </w:r>
          </w:p>
        </w:tc>
      </w:tr>
    </w:tbl>
    <w:p w14:paraId="63F88454" w14:textId="77777777" w:rsidR="006E686C" w:rsidRDefault="006E686C" w:rsidP="009C2D84">
      <w:pPr>
        <w:pStyle w:val="ABSectionText"/>
        <w:ind w:left="720"/>
      </w:pPr>
    </w:p>
    <w:p w14:paraId="74F3DC9F" w14:textId="77777777" w:rsidR="00B03DF8" w:rsidRDefault="00B03DF8" w:rsidP="009C2D84">
      <w:pPr>
        <w:pStyle w:val="ABSectionText"/>
        <w:ind w:left="720"/>
      </w:pPr>
    </w:p>
    <w:p w14:paraId="6D24B6CB" w14:textId="77777777" w:rsidR="00B03DF8" w:rsidRDefault="00B03DF8" w:rsidP="009C2D84">
      <w:pPr>
        <w:pStyle w:val="ABSectionText"/>
        <w:ind w:left="720"/>
      </w:pPr>
    </w:p>
    <w:p w14:paraId="7DA053EC" w14:textId="1D2BAF41" w:rsidR="00B03DF8" w:rsidRDefault="00B03DF8" w:rsidP="009C2D84">
      <w:pPr>
        <w:pStyle w:val="ABSectionText"/>
        <w:ind w:left="720"/>
      </w:pPr>
      <w:r>
        <w:t xml:space="preserve">Additional factors </w:t>
      </w:r>
      <w:r w:rsidR="00A62F72">
        <w:t xml:space="preserve">payers often consider </w:t>
      </w:r>
      <w:r>
        <w:t>include:</w:t>
      </w:r>
    </w:p>
    <w:p w14:paraId="3CDC2084" w14:textId="69325EA5" w:rsidR="00C63D5B" w:rsidRDefault="00A62F72" w:rsidP="00B52E5E">
      <w:pPr>
        <w:pStyle w:val="ABSectionText"/>
        <w:numPr>
          <w:ilvl w:val="0"/>
          <w:numId w:val="20"/>
        </w:numPr>
        <w:spacing w:before="60"/>
      </w:pPr>
      <w:r>
        <w:t>M</w:t>
      </w:r>
      <w:r w:rsidR="00B03DF8">
        <w:t xml:space="preserve">ember retention </w:t>
      </w:r>
    </w:p>
    <w:p w14:paraId="38C7B214" w14:textId="77777777" w:rsidR="00C63D5B" w:rsidRDefault="00B03DF8" w:rsidP="00B52E5E">
      <w:pPr>
        <w:pStyle w:val="ABSectionText"/>
        <w:numPr>
          <w:ilvl w:val="0"/>
          <w:numId w:val="20"/>
        </w:numPr>
        <w:spacing w:before="60"/>
      </w:pPr>
      <w:r>
        <w:t>Differentiating health plan benefit</w:t>
      </w:r>
    </w:p>
    <w:p w14:paraId="0255C0FE" w14:textId="0C2050C0" w:rsidR="00A62F72" w:rsidRDefault="00B03DF8" w:rsidP="00B52E5E">
      <w:pPr>
        <w:pStyle w:val="ABSectionText"/>
        <w:numPr>
          <w:ilvl w:val="0"/>
          <w:numId w:val="20"/>
        </w:numPr>
        <w:spacing w:before="60"/>
      </w:pPr>
      <w:r>
        <w:t>Medicaid</w:t>
      </w:r>
      <w:r w:rsidR="00957E10">
        <w:t>, employer, or other client</w:t>
      </w:r>
      <w:r>
        <w:t xml:space="preserve"> RFP proof point </w:t>
      </w:r>
    </w:p>
    <w:p w14:paraId="524CFFD2" w14:textId="77777777" w:rsidR="00A62F72" w:rsidRDefault="00B03DF8" w:rsidP="00B52E5E">
      <w:pPr>
        <w:pStyle w:val="ABSectionText"/>
        <w:numPr>
          <w:ilvl w:val="0"/>
          <w:numId w:val="20"/>
        </w:numPr>
        <w:spacing w:before="60"/>
      </w:pPr>
      <w:r>
        <w:t>Glidepath to greater provider risk</w:t>
      </w:r>
    </w:p>
    <w:p w14:paraId="1922F950" w14:textId="6404DDA5" w:rsidR="00A62F72" w:rsidRDefault="001A6230" w:rsidP="00B52E5E">
      <w:pPr>
        <w:pStyle w:val="ABSectionText"/>
        <w:numPr>
          <w:ilvl w:val="0"/>
          <w:numId w:val="20"/>
        </w:numPr>
        <w:spacing w:before="60"/>
      </w:pPr>
      <w:r>
        <w:t>Reduction in</w:t>
      </w:r>
      <w:r w:rsidR="008F568D">
        <w:t xml:space="preserve"> health disparities </w:t>
      </w:r>
    </w:p>
    <w:p w14:paraId="2E86FF2C" w14:textId="00857C91" w:rsidR="00B03DF8" w:rsidRDefault="00B03DF8" w:rsidP="00B52E5E">
      <w:pPr>
        <w:pStyle w:val="ABSectionText"/>
        <w:numPr>
          <w:ilvl w:val="0"/>
          <w:numId w:val="20"/>
        </w:numPr>
        <w:spacing w:before="60"/>
      </w:pPr>
      <w:r>
        <w:t>Newsworthy partnership</w:t>
      </w:r>
      <w:r w:rsidR="00A62F72">
        <w:t xml:space="preserve"> that can lead to </w:t>
      </w:r>
      <w:r>
        <w:t>joint promotion</w:t>
      </w:r>
    </w:p>
    <w:p w14:paraId="7D26790D" w14:textId="77777777" w:rsidR="009C2D84" w:rsidRDefault="009C2D84" w:rsidP="009C2D84">
      <w:pPr>
        <w:pStyle w:val="ABSectionText"/>
        <w:spacing w:before="0"/>
        <w:ind w:left="0"/>
        <w:rPr>
          <w:sz w:val="10"/>
          <w:szCs w:val="10"/>
        </w:rPr>
      </w:pPr>
    </w:p>
    <w:p w14:paraId="6882A0CE" w14:textId="77777777" w:rsidR="00C879EE" w:rsidRDefault="00C879EE" w:rsidP="009C2D84">
      <w:pPr>
        <w:pStyle w:val="ABSectionText"/>
        <w:spacing w:before="0"/>
        <w:ind w:left="0"/>
        <w:rPr>
          <w:sz w:val="10"/>
          <w:szCs w:val="10"/>
        </w:rPr>
      </w:pPr>
    </w:p>
    <w:p w14:paraId="58F0B506" w14:textId="77777777" w:rsidR="00C879EE" w:rsidRDefault="00C879EE" w:rsidP="009C2D84">
      <w:pPr>
        <w:pStyle w:val="ABSectionText"/>
        <w:spacing w:before="0"/>
        <w:ind w:left="0"/>
        <w:rPr>
          <w:sz w:val="10"/>
          <w:szCs w:val="10"/>
        </w:rPr>
      </w:pPr>
    </w:p>
    <w:p w14:paraId="1022A35F" w14:textId="77777777" w:rsidR="00C879EE" w:rsidRDefault="00C879EE" w:rsidP="009C2D84">
      <w:pPr>
        <w:pStyle w:val="ABSectionText"/>
        <w:spacing w:before="0"/>
        <w:ind w:left="0"/>
        <w:rPr>
          <w:sz w:val="10"/>
          <w:szCs w:val="10"/>
        </w:rPr>
      </w:pPr>
    </w:p>
    <w:p w14:paraId="4C8E9A23" w14:textId="77777777" w:rsidR="00C879EE" w:rsidRDefault="00C879EE" w:rsidP="009C2D84">
      <w:pPr>
        <w:pStyle w:val="ABSectionText"/>
        <w:spacing w:before="0"/>
        <w:ind w:left="0"/>
        <w:rPr>
          <w:sz w:val="10"/>
          <w:szCs w:val="10"/>
        </w:rPr>
      </w:pPr>
    </w:p>
    <w:p w14:paraId="686C8C96" w14:textId="77777777" w:rsidR="00C879EE" w:rsidRDefault="00C879EE" w:rsidP="46A3A59C">
      <w:pPr>
        <w:pStyle w:val="ABSectionText"/>
        <w:spacing w:before="0"/>
        <w:ind w:left="0"/>
        <w:rPr>
          <w:sz w:val="36"/>
          <w:szCs w:val="36"/>
        </w:rPr>
      </w:pPr>
    </w:p>
    <w:p w14:paraId="4C306534" w14:textId="77777777" w:rsidR="00C879EE" w:rsidRDefault="00C879EE" w:rsidP="009C2D84">
      <w:pPr>
        <w:pStyle w:val="ABSectionText"/>
        <w:spacing w:before="0"/>
        <w:ind w:left="0"/>
        <w:rPr>
          <w:sz w:val="10"/>
          <w:szCs w:val="10"/>
        </w:rPr>
      </w:pPr>
    </w:p>
    <w:p w14:paraId="2E45D4D0" w14:textId="77777777" w:rsidR="00B97FD8" w:rsidRDefault="00B97FD8" w:rsidP="46A3A59C">
      <w:pPr>
        <w:pStyle w:val="ABSectionText"/>
        <w:spacing w:before="0"/>
        <w:ind w:left="0"/>
        <w:rPr>
          <w:sz w:val="24"/>
          <w:szCs w:val="24"/>
        </w:rPr>
      </w:pPr>
    </w:p>
    <w:p w14:paraId="72B60DA1" w14:textId="481D53EF" w:rsidR="00B97FD8" w:rsidRDefault="00B97FD8" w:rsidP="009C2D84">
      <w:pPr>
        <w:pStyle w:val="ABSectionText"/>
        <w:spacing w:before="0"/>
        <w:ind w:left="0"/>
        <w:rPr>
          <w:sz w:val="10"/>
          <w:szCs w:val="10"/>
        </w:rPr>
      </w:pPr>
    </w:p>
    <w:p w14:paraId="674BF934" w14:textId="77777777" w:rsidR="00F815A9" w:rsidRDefault="00F815A9" w:rsidP="009C2D84">
      <w:pPr>
        <w:pStyle w:val="ABSectionText"/>
        <w:spacing w:before="0"/>
        <w:ind w:left="0"/>
        <w:rPr>
          <w:sz w:val="10"/>
          <w:szCs w:val="10"/>
        </w:rPr>
      </w:pPr>
    </w:p>
    <w:p w14:paraId="7E1F42B3" w14:textId="77777777" w:rsidR="00F815A9" w:rsidRDefault="00F815A9" w:rsidP="009C2D84">
      <w:pPr>
        <w:pStyle w:val="ABSectionText"/>
        <w:spacing w:before="0"/>
        <w:ind w:left="0"/>
        <w:rPr>
          <w:sz w:val="10"/>
          <w:szCs w:val="10"/>
        </w:rPr>
      </w:pPr>
    </w:p>
    <w:p w14:paraId="3B325606" w14:textId="77777777" w:rsidR="00F815A9" w:rsidRDefault="00F815A9" w:rsidP="009C2D84">
      <w:pPr>
        <w:pStyle w:val="ABSectionText"/>
        <w:spacing w:before="0"/>
        <w:ind w:left="0"/>
        <w:rPr>
          <w:sz w:val="10"/>
          <w:szCs w:val="10"/>
        </w:rPr>
      </w:pPr>
    </w:p>
    <w:p w14:paraId="47FA32B4" w14:textId="77777777" w:rsidR="00F815A9" w:rsidRDefault="00F815A9" w:rsidP="009C2D84">
      <w:pPr>
        <w:pStyle w:val="ABSectionText"/>
        <w:spacing w:before="0"/>
        <w:ind w:left="0"/>
        <w:rPr>
          <w:sz w:val="10"/>
          <w:szCs w:val="10"/>
        </w:rPr>
      </w:pPr>
    </w:p>
    <w:p w14:paraId="6A4EB133" w14:textId="77777777" w:rsidR="00F815A9" w:rsidRDefault="00F815A9" w:rsidP="009C2D84">
      <w:pPr>
        <w:pStyle w:val="ABSectionText"/>
        <w:spacing w:before="0"/>
        <w:ind w:left="0"/>
        <w:rPr>
          <w:sz w:val="10"/>
          <w:szCs w:val="10"/>
        </w:rPr>
      </w:pPr>
    </w:p>
    <w:p w14:paraId="1D12772D" w14:textId="77777777" w:rsidR="00F815A9" w:rsidRDefault="00F815A9" w:rsidP="009C2D84">
      <w:pPr>
        <w:pStyle w:val="ABSectionText"/>
        <w:spacing w:before="0"/>
        <w:ind w:left="0"/>
        <w:rPr>
          <w:sz w:val="10"/>
          <w:szCs w:val="10"/>
        </w:rPr>
      </w:pPr>
    </w:p>
    <w:p w14:paraId="124E8CF9" w14:textId="77777777" w:rsidR="00F815A9" w:rsidRDefault="00F815A9" w:rsidP="009C2D84">
      <w:pPr>
        <w:pStyle w:val="ABSectionText"/>
        <w:spacing w:before="0"/>
        <w:ind w:left="0"/>
        <w:rPr>
          <w:sz w:val="10"/>
          <w:szCs w:val="10"/>
        </w:rPr>
      </w:pPr>
    </w:p>
    <w:p w14:paraId="3CDAE2B5" w14:textId="77777777" w:rsidR="00F815A9" w:rsidRDefault="00F815A9" w:rsidP="009C2D84">
      <w:pPr>
        <w:pStyle w:val="ABSectionText"/>
        <w:spacing w:before="0"/>
        <w:ind w:left="0"/>
        <w:rPr>
          <w:sz w:val="10"/>
          <w:szCs w:val="10"/>
        </w:rPr>
      </w:pPr>
    </w:p>
    <w:p w14:paraId="66DB99CF" w14:textId="77777777" w:rsidR="00F815A9" w:rsidRDefault="00F815A9" w:rsidP="009C2D84">
      <w:pPr>
        <w:pStyle w:val="ABSectionText"/>
        <w:spacing w:before="0"/>
        <w:ind w:left="0"/>
        <w:rPr>
          <w:sz w:val="10"/>
          <w:szCs w:val="10"/>
        </w:rPr>
      </w:pPr>
    </w:p>
    <w:p w14:paraId="0BDF171A" w14:textId="77777777" w:rsidR="00F815A9" w:rsidRDefault="00F815A9" w:rsidP="009C2D84">
      <w:pPr>
        <w:pStyle w:val="ABSectionText"/>
        <w:spacing w:before="0"/>
        <w:ind w:left="0"/>
        <w:rPr>
          <w:sz w:val="10"/>
          <w:szCs w:val="10"/>
        </w:rPr>
      </w:pPr>
    </w:p>
    <w:p w14:paraId="17C00154" w14:textId="77777777" w:rsidR="00F815A9" w:rsidRDefault="00F815A9" w:rsidP="009C2D84">
      <w:pPr>
        <w:pStyle w:val="ABSectionText"/>
        <w:spacing w:before="0"/>
        <w:ind w:left="0"/>
        <w:rPr>
          <w:sz w:val="10"/>
          <w:szCs w:val="10"/>
        </w:rPr>
      </w:pPr>
    </w:p>
    <w:p w14:paraId="5C767042" w14:textId="77777777" w:rsidR="00F815A9" w:rsidRDefault="00F815A9" w:rsidP="009C2D84">
      <w:pPr>
        <w:pStyle w:val="ABSectionText"/>
        <w:spacing w:before="0"/>
        <w:ind w:left="0"/>
        <w:rPr>
          <w:sz w:val="10"/>
          <w:szCs w:val="10"/>
        </w:rPr>
      </w:pPr>
    </w:p>
    <w:p w14:paraId="7004B03C" w14:textId="77777777" w:rsidR="00F815A9" w:rsidRDefault="00F815A9" w:rsidP="009C2D84">
      <w:pPr>
        <w:pStyle w:val="ABSectionText"/>
        <w:spacing w:before="0"/>
        <w:ind w:left="0"/>
        <w:rPr>
          <w:sz w:val="10"/>
          <w:szCs w:val="10"/>
        </w:rPr>
      </w:pPr>
    </w:p>
    <w:p w14:paraId="702E1E3A" w14:textId="77777777" w:rsidR="00F815A9" w:rsidRDefault="00F815A9" w:rsidP="009C2D84">
      <w:pPr>
        <w:pStyle w:val="ABSectionText"/>
        <w:spacing w:before="0"/>
        <w:ind w:left="0"/>
        <w:rPr>
          <w:sz w:val="10"/>
          <w:szCs w:val="10"/>
        </w:rPr>
      </w:pPr>
    </w:p>
    <w:p w14:paraId="2D74A059" w14:textId="77777777" w:rsidR="00F815A9" w:rsidRDefault="00F815A9" w:rsidP="009C2D84">
      <w:pPr>
        <w:pStyle w:val="ABSectionText"/>
        <w:spacing w:before="0"/>
        <w:ind w:left="0"/>
        <w:rPr>
          <w:sz w:val="10"/>
          <w:szCs w:val="10"/>
        </w:rPr>
      </w:pPr>
    </w:p>
    <w:p w14:paraId="01711946" w14:textId="77777777" w:rsidR="00F815A9" w:rsidRDefault="00F815A9" w:rsidP="009C2D84">
      <w:pPr>
        <w:pStyle w:val="ABSectionText"/>
        <w:spacing w:before="0"/>
        <w:ind w:left="0"/>
        <w:rPr>
          <w:sz w:val="10"/>
          <w:szCs w:val="10"/>
        </w:rPr>
      </w:pPr>
    </w:p>
    <w:p w14:paraId="2A14FCF1" w14:textId="77777777" w:rsidR="00F815A9" w:rsidRDefault="00F815A9" w:rsidP="009C2D84">
      <w:pPr>
        <w:pStyle w:val="ABSectionText"/>
        <w:spacing w:before="0"/>
        <w:ind w:left="0"/>
        <w:rPr>
          <w:sz w:val="10"/>
          <w:szCs w:val="10"/>
        </w:rPr>
      </w:pPr>
    </w:p>
    <w:p w14:paraId="4A8042BF" w14:textId="77777777" w:rsidR="00F815A9" w:rsidRDefault="00F815A9" w:rsidP="009C2D84">
      <w:pPr>
        <w:pStyle w:val="ABSectionText"/>
        <w:spacing w:before="0"/>
        <w:ind w:left="0"/>
        <w:rPr>
          <w:sz w:val="10"/>
          <w:szCs w:val="10"/>
        </w:rPr>
      </w:pPr>
    </w:p>
    <w:p w14:paraId="0CC9F4EC" w14:textId="77777777" w:rsidR="00F815A9" w:rsidRDefault="00F815A9" w:rsidP="009C2D84">
      <w:pPr>
        <w:pStyle w:val="ABSectionText"/>
        <w:spacing w:before="0"/>
        <w:ind w:left="0"/>
        <w:rPr>
          <w:sz w:val="10"/>
          <w:szCs w:val="10"/>
        </w:rPr>
      </w:pPr>
    </w:p>
    <w:p w14:paraId="50B3E889" w14:textId="77777777" w:rsidR="00F815A9" w:rsidRDefault="00F815A9" w:rsidP="009C2D84">
      <w:pPr>
        <w:pStyle w:val="ABSectionText"/>
        <w:spacing w:before="0"/>
        <w:ind w:left="0"/>
        <w:rPr>
          <w:sz w:val="10"/>
          <w:szCs w:val="10"/>
        </w:rPr>
      </w:pPr>
    </w:p>
    <w:p w14:paraId="31EBBA94" w14:textId="77777777" w:rsidR="00F815A9" w:rsidRDefault="00F815A9" w:rsidP="009C2D84">
      <w:pPr>
        <w:pStyle w:val="ABSectionText"/>
        <w:spacing w:before="0"/>
        <w:ind w:left="0"/>
        <w:rPr>
          <w:sz w:val="10"/>
          <w:szCs w:val="10"/>
        </w:rPr>
      </w:pPr>
    </w:p>
    <w:p w14:paraId="286E9694" w14:textId="77777777" w:rsidR="00F815A9" w:rsidRDefault="00F815A9" w:rsidP="009C2D84">
      <w:pPr>
        <w:pStyle w:val="ABSectionText"/>
        <w:spacing w:before="0"/>
        <w:ind w:left="0"/>
        <w:rPr>
          <w:sz w:val="10"/>
          <w:szCs w:val="10"/>
        </w:rPr>
      </w:pPr>
    </w:p>
    <w:p w14:paraId="770F01C3" w14:textId="77777777" w:rsidR="00F815A9" w:rsidRDefault="00F815A9" w:rsidP="009C2D84">
      <w:pPr>
        <w:pStyle w:val="ABSectionText"/>
        <w:spacing w:before="0"/>
        <w:ind w:left="0"/>
        <w:rPr>
          <w:sz w:val="10"/>
          <w:szCs w:val="10"/>
        </w:rPr>
      </w:pPr>
    </w:p>
    <w:p w14:paraId="0B295821" w14:textId="77777777" w:rsidR="00F815A9" w:rsidRDefault="00F815A9" w:rsidP="009C2D84">
      <w:pPr>
        <w:pStyle w:val="ABSectionText"/>
        <w:spacing w:before="0"/>
        <w:ind w:left="0"/>
        <w:rPr>
          <w:sz w:val="10"/>
          <w:szCs w:val="10"/>
        </w:rPr>
      </w:pPr>
    </w:p>
    <w:p w14:paraId="009ECDF7" w14:textId="77777777" w:rsidR="00F815A9" w:rsidRDefault="00F815A9" w:rsidP="009C2D84">
      <w:pPr>
        <w:pStyle w:val="ABSectionText"/>
        <w:spacing w:before="0"/>
        <w:ind w:left="0"/>
        <w:rPr>
          <w:sz w:val="10"/>
          <w:szCs w:val="10"/>
        </w:rPr>
      </w:pPr>
    </w:p>
    <w:p w14:paraId="0C80F9F8" w14:textId="77777777" w:rsidR="00F815A9" w:rsidRDefault="00F815A9" w:rsidP="009C2D84">
      <w:pPr>
        <w:pStyle w:val="ABSectionText"/>
        <w:spacing w:before="0"/>
        <w:ind w:left="0"/>
        <w:rPr>
          <w:sz w:val="10"/>
          <w:szCs w:val="10"/>
        </w:rPr>
      </w:pPr>
    </w:p>
    <w:p w14:paraId="3656D7FC" w14:textId="77777777" w:rsidR="00F815A9" w:rsidRDefault="00F815A9" w:rsidP="009C2D84">
      <w:pPr>
        <w:pStyle w:val="ABSectionText"/>
        <w:spacing w:before="0"/>
        <w:ind w:left="0"/>
        <w:rPr>
          <w:sz w:val="10"/>
          <w:szCs w:val="10"/>
        </w:rPr>
      </w:pPr>
    </w:p>
    <w:p w14:paraId="2CB9E20A" w14:textId="77777777" w:rsidR="00F815A9" w:rsidRDefault="00F815A9" w:rsidP="009C2D84">
      <w:pPr>
        <w:pStyle w:val="ABSectionText"/>
        <w:spacing w:before="0"/>
        <w:ind w:left="0"/>
        <w:rPr>
          <w:sz w:val="10"/>
          <w:szCs w:val="10"/>
        </w:rPr>
      </w:pPr>
    </w:p>
    <w:p w14:paraId="220A99CC" w14:textId="77777777" w:rsidR="00B97FD8" w:rsidRDefault="00B97FD8" w:rsidP="009C2D84">
      <w:pPr>
        <w:pStyle w:val="ABSectionText"/>
        <w:spacing w:before="0"/>
        <w:ind w:left="0"/>
        <w:rPr>
          <w:sz w:val="10"/>
          <w:szCs w:val="10"/>
        </w:rPr>
      </w:pPr>
    </w:p>
    <w:p w14:paraId="1C51C7CB" w14:textId="77777777" w:rsidR="00B97FD8" w:rsidRDefault="00B97FD8" w:rsidP="009C2D84">
      <w:pPr>
        <w:pStyle w:val="ABSectionText"/>
        <w:spacing w:before="0"/>
        <w:ind w:left="0"/>
        <w:rPr>
          <w:sz w:val="10"/>
          <w:szCs w:val="10"/>
        </w:rPr>
      </w:pPr>
    </w:p>
    <w:p w14:paraId="77CCE39B" w14:textId="77777777" w:rsidR="00B97FD8" w:rsidRDefault="00B97FD8" w:rsidP="009C2D84">
      <w:pPr>
        <w:pStyle w:val="ABSectionText"/>
        <w:spacing w:before="0"/>
        <w:ind w:left="0"/>
        <w:rPr>
          <w:sz w:val="10"/>
          <w:szCs w:val="10"/>
        </w:rPr>
      </w:pPr>
    </w:p>
    <w:p w14:paraId="06EDB0B1" w14:textId="77777777" w:rsidR="00B97FD8" w:rsidRDefault="00B97FD8" w:rsidP="009C2D84">
      <w:pPr>
        <w:pStyle w:val="ABSectionText"/>
        <w:spacing w:before="0"/>
        <w:ind w:left="0"/>
        <w:rPr>
          <w:sz w:val="10"/>
          <w:szCs w:val="10"/>
        </w:rPr>
      </w:pPr>
    </w:p>
    <w:p w14:paraId="04504169" w14:textId="77777777" w:rsidR="00B97FD8" w:rsidRDefault="00B97FD8" w:rsidP="009C2D84">
      <w:pPr>
        <w:pStyle w:val="ABSectionText"/>
        <w:spacing w:before="0"/>
        <w:ind w:left="0"/>
        <w:rPr>
          <w:sz w:val="10"/>
          <w:szCs w:val="10"/>
        </w:rPr>
      </w:pPr>
    </w:p>
    <w:p w14:paraId="509F4E2A" w14:textId="77777777" w:rsidR="00B97FD8" w:rsidRDefault="00B97FD8" w:rsidP="009C2D84">
      <w:pPr>
        <w:pStyle w:val="ABSectionText"/>
        <w:spacing w:before="0"/>
        <w:ind w:left="0"/>
        <w:rPr>
          <w:sz w:val="10"/>
          <w:szCs w:val="10"/>
        </w:rPr>
      </w:pPr>
    </w:p>
    <w:p w14:paraId="641360EA" w14:textId="77777777" w:rsidR="00B97FD8" w:rsidRDefault="00B97FD8" w:rsidP="009C2D84">
      <w:pPr>
        <w:pStyle w:val="ABSectionText"/>
        <w:spacing w:before="0"/>
        <w:ind w:left="0"/>
        <w:rPr>
          <w:sz w:val="10"/>
          <w:szCs w:val="10"/>
        </w:rPr>
      </w:pPr>
    </w:p>
    <w:p w14:paraId="1EE55944" w14:textId="77777777" w:rsidR="00B97FD8" w:rsidRDefault="00B97FD8" w:rsidP="009C2D84">
      <w:pPr>
        <w:pStyle w:val="ABSectionText"/>
        <w:spacing w:before="0"/>
        <w:ind w:left="0"/>
        <w:rPr>
          <w:sz w:val="10"/>
          <w:szCs w:val="10"/>
        </w:rPr>
      </w:pPr>
    </w:p>
    <w:p w14:paraId="56A7ECFD" w14:textId="77777777" w:rsidR="00B97FD8" w:rsidRDefault="00B97FD8" w:rsidP="009C2D84">
      <w:pPr>
        <w:pStyle w:val="ABSectionText"/>
        <w:spacing w:before="0"/>
        <w:ind w:left="0"/>
        <w:rPr>
          <w:sz w:val="10"/>
          <w:szCs w:val="10"/>
        </w:rPr>
      </w:pPr>
    </w:p>
    <w:p w14:paraId="20E7E927" w14:textId="77777777" w:rsidR="00B97FD8" w:rsidRDefault="00B97FD8" w:rsidP="009C2D84">
      <w:pPr>
        <w:pStyle w:val="ABSectionText"/>
        <w:spacing w:before="0"/>
        <w:ind w:left="0"/>
        <w:rPr>
          <w:sz w:val="10"/>
          <w:szCs w:val="10"/>
        </w:rPr>
      </w:pPr>
    </w:p>
    <w:p w14:paraId="15F82E9C" w14:textId="77777777" w:rsidR="00B97FD8" w:rsidRDefault="00B97FD8" w:rsidP="009C2D84">
      <w:pPr>
        <w:pStyle w:val="ABSectionText"/>
        <w:spacing w:before="0"/>
        <w:ind w:left="0"/>
        <w:rPr>
          <w:sz w:val="10"/>
          <w:szCs w:val="10"/>
        </w:rPr>
      </w:pPr>
    </w:p>
    <w:p w14:paraId="2064C98B" w14:textId="77777777" w:rsidR="00B97FD8" w:rsidRDefault="00B97FD8" w:rsidP="009C2D84">
      <w:pPr>
        <w:pStyle w:val="ABSectionText"/>
        <w:spacing w:before="0"/>
        <w:ind w:left="0"/>
        <w:rPr>
          <w:sz w:val="10"/>
          <w:szCs w:val="10"/>
        </w:rPr>
      </w:pPr>
    </w:p>
    <w:p w14:paraId="437A49E2" w14:textId="77777777" w:rsidR="00B97FD8" w:rsidRDefault="00B97FD8" w:rsidP="009C2D84">
      <w:pPr>
        <w:pStyle w:val="ABSectionText"/>
        <w:spacing w:before="0"/>
        <w:ind w:left="0"/>
        <w:rPr>
          <w:sz w:val="10"/>
          <w:szCs w:val="10"/>
        </w:rPr>
      </w:pPr>
    </w:p>
    <w:p w14:paraId="692EFD00" w14:textId="250ED8FF" w:rsidR="00C879EE" w:rsidRPr="00B52E5E" w:rsidRDefault="002C478A" w:rsidP="009C2D84">
      <w:pPr>
        <w:pStyle w:val="ABSectionText"/>
        <w:spacing w:before="0"/>
        <w:ind w:left="0"/>
        <w:rPr>
          <w:i/>
          <w:iCs/>
        </w:rPr>
      </w:pPr>
      <w:r w:rsidRPr="00B52E5E">
        <w:rPr>
          <w:i/>
          <w:iCs/>
        </w:rPr>
        <w:t>Endnotes</w:t>
      </w:r>
    </w:p>
    <w:p w14:paraId="75782D6C" w14:textId="77777777" w:rsidR="00E21077" w:rsidRDefault="00E21077" w:rsidP="005608A1">
      <w:pPr>
        <w:pStyle w:val="ABSectionText"/>
        <w:spacing w:before="0"/>
        <w:ind w:left="1440"/>
        <w:rPr>
          <w:sz w:val="10"/>
          <w:szCs w:val="10"/>
        </w:rPr>
      </w:pPr>
    </w:p>
    <w:p w14:paraId="1BA670D7" w14:textId="7A192EF5" w:rsidR="001562E5" w:rsidRDefault="001562E5" w:rsidP="00B52E5E">
      <w:pPr>
        <w:pStyle w:val="ABSectionText"/>
        <w:numPr>
          <w:ilvl w:val="0"/>
          <w:numId w:val="18"/>
        </w:numPr>
        <w:spacing w:before="0"/>
        <w:ind w:left="180" w:hanging="180"/>
        <w:rPr>
          <w:sz w:val="10"/>
          <w:szCs w:val="10"/>
        </w:rPr>
      </w:pPr>
      <w:r w:rsidRPr="001562E5">
        <w:rPr>
          <w:sz w:val="10"/>
          <w:szCs w:val="10"/>
        </w:rPr>
        <w:t>America’s Health Insurance Plans. (2026). </w:t>
      </w:r>
      <w:hyperlink r:id="rId15" w:history="1">
        <w:r w:rsidRPr="001562E5">
          <w:rPr>
            <w:rStyle w:val="Hyperlink"/>
            <w:sz w:val="10"/>
            <w:szCs w:val="10"/>
          </w:rPr>
          <w:t>APM Measurement: Progress of Alternative Payment Models.</w:t>
        </w:r>
      </w:hyperlink>
      <w:r w:rsidRPr="001562E5">
        <w:rPr>
          <w:sz w:val="10"/>
          <w:szCs w:val="10"/>
        </w:rPr>
        <w:t> AHIP.org. February 6, 2026</w:t>
      </w:r>
      <w:r>
        <w:rPr>
          <w:sz w:val="10"/>
          <w:szCs w:val="10"/>
        </w:rPr>
        <w:t xml:space="preserve">. </w:t>
      </w:r>
      <w:r w:rsidRPr="001562E5">
        <w:rPr>
          <w:sz w:val="10"/>
          <w:szCs w:val="10"/>
        </w:rPr>
        <w:t> </w:t>
      </w:r>
    </w:p>
    <w:p w14:paraId="2CB2800D" w14:textId="20B6B0B9" w:rsidR="008B4580" w:rsidRDefault="00DD1B9B" w:rsidP="00B52E5E">
      <w:pPr>
        <w:pStyle w:val="ABSectionText"/>
        <w:numPr>
          <w:ilvl w:val="0"/>
          <w:numId w:val="18"/>
        </w:numPr>
        <w:spacing w:before="0"/>
        <w:ind w:left="180" w:hanging="180"/>
        <w:rPr>
          <w:sz w:val="10"/>
          <w:szCs w:val="10"/>
        </w:rPr>
      </w:pPr>
      <w:r w:rsidRPr="00DD1B9B">
        <w:rPr>
          <w:sz w:val="10"/>
          <w:szCs w:val="10"/>
        </w:rPr>
        <w:t xml:space="preserve">Burns M, </w:t>
      </w:r>
      <w:proofErr w:type="spellStart"/>
      <w:r w:rsidRPr="00DD1B9B">
        <w:rPr>
          <w:sz w:val="10"/>
          <w:szCs w:val="10"/>
        </w:rPr>
        <w:t>Bailit</w:t>
      </w:r>
      <w:proofErr w:type="spellEnd"/>
      <w:r w:rsidRPr="00DD1B9B">
        <w:rPr>
          <w:sz w:val="10"/>
          <w:szCs w:val="10"/>
        </w:rPr>
        <w:t xml:space="preserve"> M. </w:t>
      </w:r>
      <w:hyperlink r:id="rId16" w:history="1">
        <w:r w:rsidRPr="00DD1B9B">
          <w:rPr>
            <w:rStyle w:val="Hyperlink"/>
            <w:sz w:val="10"/>
            <w:szCs w:val="10"/>
          </w:rPr>
          <w:t>Categorizing value-based payment models according to the LAN Alternative Payment Model Framework: Examples of payment models by category</w:t>
        </w:r>
      </w:hyperlink>
      <w:r w:rsidRPr="00DD1B9B">
        <w:rPr>
          <w:sz w:val="10"/>
          <w:szCs w:val="10"/>
        </w:rPr>
        <w:t>. State Health and Value Strategies; February 6, 2018.</w:t>
      </w:r>
    </w:p>
    <w:p w14:paraId="1437FAEA" w14:textId="77777777" w:rsidR="005B1BD8" w:rsidRDefault="00CC726E" w:rsidP="00B52E5E">
      <w:pPr>
        <w:pStyle w:val="ABSectionText"/>
        <w:numPr>
          <w:ilvl w:val="0"/>
          <w:numId w:val="18"/>
        </w:numPr>
        <w:spacing w:before="0"/>
        <w:ind w:left="180" w:hanging="180"/>
        <w:rPr>
          <w:sz w:val="10"/>
          <w:szCs w:val="10"/>
        </w:rPr>
      </w:pPr>
      <w:r w:rsidRPr="00CC726E">
        <w:rPr>
          <w:sz w:val="10"/>
          <w:szCs w:val="10"/>
        </w:rPr>
        <w:t xml:space="preserve">Health Care Payment Learning and Action Network. </w:t>
      </w:r>
      <w:hyperlink r:id="rId17">
        <w:r w:rsidRPr="352BD994">
          <w:rPr>
            <w:rStyle w:val="Hyperlink"/>
            <w:sz w:val="10"/>
            <w:szCs w:val="10"/>
          </w:rPr>
          <w:t>Alternative Payment Model (APM) Framework white paper</w:t>
        </w:r>
      </w:hyperlink>
      <w:r w:rsidRPr="352BD994">
        <w:rPr>
          <w:sz w:val="10"/>
          <w:szCs w:val="10"/>
        </w:rPr>
        <w:t xml:space="preserve">. Health Care Payment Learning and Action Network; </w:t>
      </w:r>
      <w:r w:rsidR="00B14C5A" w:rsidRPr="352BD994">
        <w:rPr>
          <w:sz w:val="10"/>
          <w:szCs w:val="10"/>
        </w:rPr>
        <w:t>July 2017</w:t>
      </w:r>
      <w:r w:rsidR="009F251B" w:rsidRPr="352BD994">
        <w:rPr>
          <w:sz w:val="10"/>
          <w:szCs w:val="10"/>
        </w:rPr>
        <w:t>.</w:t>
      </w:r>
    </w:p>
    <w:p w14:paraId="4880371B" w14:textId="5EC6EE88" w:rsidR="00462663" w:rsidRDefault="00462663" w:rsidP="00462663">
      <w:pPr>
        <w:pStyle w:val="ABSectionText"/>
        <w:spacing w:before="0"/>
        <w:rPr>
          <w:sz w:val="10"/>
          <w:szCs w:val="10"/>
        </w:rPr>
      </w:pPr>
    </w:p>
    <w:p w14:paraId="115648ED" w14:textId="19A9A9E9" w:rsidR="00C879EE" w:rsidRPr="00656CD8" w:rsidRDefault="00B97FD8" w:rsidP="00462663">
      <w:pPr>
        <w:pStyle w:val="ABSectionText"/>
        <w:spacing w:before="0"/>
        <w:rPr>
          <w:sz w:val="10"/>
          <w:szCs w:val="10"/>
        </w:rPr>
      </w:pPr>
      <w:r w:rsidRPr="005B61CA">
        <w:rPr>
          <w:noProof/>
        </w:rPr>
        <mc:AlternateContent>
          <mc:Choice Requires="wps">
            <w:drawing>
              <wp:anchor distT="0" distB="0" distL="114300" distR="114300" simplePos="0" relativeHeight="251658246" behindDoc="0" locked="0" layoutInCell="1" allowOverlap="1" wp14:anchorId="14B3587C" wp14:editId="12650B48">
                <wp:simplePos x="0" y="0"/>
                <wp:positionH relativeFrom="column">
                  <wp:posOffset>0</wp:posOffset>
                </wp:positionH>
                <wp:positionV relativeFrom="paragraph">
                  <wp:posOffset>462280</wp:posOffset>
                </wp:positionV>
                <wp:extent cx="5448300" cy="1723390"/>
                <wp:effectExtent l="0" t="0" r="0" b="0"/>
                <wp:wrapNone/>
                <wp:docPr id="11" name="Legal caveat">
                  <a:extLst xmlns:a="http://schemas.openxmlformats.org/drawingml/2006/main">
                    <a:ext uri="{FF2B5EF4-FFF2-40B4-BE49-F238E27FC236}">
                      <a16:creationId xmlns:a16="http://schemas.microsoft.com/office/drawing/2014/main" id="{DC0A1016-D35D-04AE-9B89-AF3D9D62FC56}"/>
                    </a:ext>
                  </a:extLst>
                </wp:docPr>
                <wp:cNvGraphicFramePr/>
                <a:graphic xmlns:a="http://schemas.openxmlformats.org/drawingml/2006/main">
                  <a:graphicData uri="http://schemas.microsoft.com/office/word/2010/wordprocessingShape">
                    <wps:wsp>
                      <wps:cNvSpPr txBox="1"/>
                      <wps:spPr bwMode="gray">
                        <a:xfrm>
                          <a:off x="0" y="0"/>
                          <a:ext cx="5448300" cy="1723390"/>
                        </a:xfrm>
                        <a:prstGeom prst="rect">
                          <a:avLst/>
                        </a:prstGeom>
                        <a:noFill/>
                      </wps:spPr>
                      <wps:txbx>
                        <w:txbxContent>
                          <w:p w14:paraId="146D77EC" w14:textId="77777777" w:rsidR="00462663" w:rsidRDefault="00462663" w:rsidP="00462663">
                            <w:pPr>
                              <w:spacing w:before="120"/>
                              <w:rPr>
                                <w:rFonts w:hAnsi="Arial"/>
                                <w:color w:val="70787E" w:themeColor="accent3"/>
                                <w:kern w:val="24"/>
                                <w:sz w:val="12"/>
                                <w:szCs w:val="12"/>
                              </w:rPr>
                            </w:pPr>
                            <w:r w:rsidRPr="000932A4">
                              <w:rPr>
                                <w:rFonts w:hAnsi="Arial"/>
                                <w:color w:val="70787E" w:themeColor="accent3"/>
                                <w:kern w:val="24"/>
                                <w:sz w:val="12"/>
                                <w:szCs w:val="12"/>
                              </w:rPr>
                              <w:t>This report is sponsored by UnitedHealth Group (UHG).  With Advisory Board’s input, UHG developed such report and the content contained in such report.  Advisory Board does not endorse any company, organization, product or brand mentioned herein.</w:t>
                            </w:r>
                          </w:p>
                          <w:p w14:paraId="469E6024" w14:textId="77777777" w:rsidR="00462663" w:rsidRDefault="00462663" w:rsidP="00462663">
                            <w:pPr>
                              <w:spacing w:before="120"/>
                              <w:rPr>
                                <w:rFonts w:hAnsi="Arial"/>
                                <w:color w:val="70787E" w:themeColor="accent3"/>
                                <w:kern w:val="24"/>
                                <w:sz w:val="12"/>
                                <w:szCs w:val="12"/>
                              </w:rPr>
                            </w:pPr>
                            <w:r>
                              <w:rPr>
                                <w:rFonts w:hAnsi="Arial"/>
                                <w:color w:val="70787E" w:themeColor="accent3"/>
                                <w:kern w:val="24"/>
                                <w:sz w:val="12"/>
                                <w:szCs w:val="12"/>
                              </w:rPr>
                              <w:t xml:space="preserve">This report should be used for educational purposes only. Advisory Board has made efforts to verify the accuracy of the information contained herein. Advisory Board relies on data obtained from many sources and cannot guarantee the accuracy of the information provided or any analysis based thereon. In addition, Advisory Board is not in the business of giving legal, medical, accounting, or other professional advice, and its reports should not be construed as professional advice. </w:t>
                            </w:r>
                            <w:proofErr w:type="gramStart"/>
                            <w:r>
                              <w:rPr>
                                <w:rFonts w:hAnsi="Arial"/>
                                <w:color w:val="70787E" w:themeColor="accent3"/>
                                <w:kern w:val="24"/>
                                <w:sz w:val="12"/>
                                <w:szCs w:val="12"/>
                              </w:rPr>
                              <w:t>In particular, readers</w:t>
                            </w:r>
                            <w:proofErr w:type="gramEnd"/>
                            <w:r>
                              <w:rPr>
                                <w:rFonts w:hAnsi="Arial"/>
                                <w:color w:val="70787E" w:themeColor="accent3"/>
                                <w:kern w:val="24"/>
                                <w:sz w:val="12"/>
                                <w:szCs w:val="12"/>
                              </w:rPr>
                              <w:t xml:space="preserve"> should not rely on any legal commentary in this report as a basis for </w:t>
                            </w:r>
                            <w:proofErr w:type="gramStart"/>
                            <w:r>
                              <w:rPr>
                                <w:rFonts w:hAnsi="Arial"/>
                                <w:color w:val="70787E" w:themeColor="accent3"/>
                                <w:kern w:val="24"/>
                                <w:sz w:val="12"/>
                                <w:szCs w:val="12"/>
                              </w:rPr>
                              <w:t>action, or</w:t>
                            </w:r>
                            <w:proofErr w:type="gramEnd"/>
                            <w:r>
                              <w:rPr>
                                <w:rFonts w:hAnsi="Arial"/>
                                <w:color w:val="70787E" w:themeColor="accent3"/>
                                <w:kern w:val="24"/>
                                <w:sz w:val="12"/>
                                <w:szCs w:val="12"/>
                              </w:rPr>
                              <w:t xml:space="preserve"> assume that any tactics described herein would be permitted by applicable law or appropriate for a given reader's situation. Readers are advised to consult with appropriate professionals concerning legal, medical, tax, or accounting issues, before implementing any of these tactics. Neither Advisory Board nor its officers, directors, trustees, employees, and agents shall be liable for any claims, liabilities, or expenses relating to (a) any errors or omissions in this report, whether caused by Advisory Board or any of its employees or agents, or sources or other third parties, (b) any recommendation or graded ranking by Advisory Board, or (c) failure of reader and its employees and agents to abide by the terms set forth herein. </w:t>
                            </w:r>
                          </w:p>
                          <w:p w14:paraId="44DB22E3" w14:textId="77777777" w:rsidR="00462663" w:rsidRDefault="00462663" w:rsidP="00462663">
                            <w:pPr>
                              <w:spacing w:before="120"/>
                              <w:rPr>
                                <w:rFonts w:hAnsi="Arial"/>
                                <w:color w:val="70787E" w:themeColor="accent3"/>
                                <w:kern w:val="24"/>
                                <w:sz w:val="12"/>
                                <w:szCs w:val="12"/>
                              </w:rPr>
                            </w:pPr>
                            <w:r>
                              <w:rPr>
                                <w:rFonts w:hAnsi="Arial"/>
                                <w:color w:val="70787E" w:themeColor="accent3"/>
                                <w:kern w:val="24"/>
                                <w:sz w:val="12"/>
                                <w:szCs w:val="12"/>
                              </w:rPr>
                              <w:t>UnitedHealth Group has obtained distribution rights to this content for the purpose of customer education. It is the policy of Advisory Board to enforce its intellectual property rights to the fullest extent permitted under law. The entire content of this report, including any images or text, is copyrighted and may not be distributed, modified, reused, or otherwise used except as provided herein without the express written permission of Advisory Board. The use or misuse of the Advisory Board trademarks, copyrights, or other materials, except as permitted herein, is expressly prohibited and may be in violation of copyright law, trademark law, communications regulations and statutes, and other laws, statutes and/or regulations.</w:t>
                            </w:r>
                          </w:p>
                        </w:txbxContent>
                      </wps:txbx>
                      <wps:bodyPr wrap="square" lIns="0" tIns="0" rIns="0" bIns="0" rtlCol="0">
                        <a:spAutoFit/>
                      </wps:bodyPr>
                    </wps:wsp>
                  </a:graphicData>
                </a:graphic>
              </wp:anchor>
            </w:drawing>
          </mc:Choice>
          <mc:Fallback>
            <w:pict>
              <v:shape w14:anchorId="14B3587C" id="Legal caveat" o:spid="_x0000_s1029" type="#_x0000_t202" style="position:absolute;left:0;text-align:left;margin-left:0;margin-top:36.4pt;width:429pt;height:135.7pt;z-index:251658246;visibility:visible;mso-wrap-style:square;mso-wrap-distance-left:9pt;mso-wrap-distance-top:0;mso-wrap-distance-right:9pt;mso-wrap-distance-bottom:0;mso-position-horizontal:absolute;mso-position-horizontal-relative:text;mso-position-vertical:absolute;mso-position-vertical-relative:text;v-text-anchor:top" o:bwmode="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" filled="f" stroked="f">
                <v:textbox style="mso-fit-shape-to-text:t" inset="0,0,0,0">
                  <w:txbxContent>
                    <w:p w14:paraId="146D77EC" w14:textId="77777777" w:rsidR="00462663" w:rsidRDefault="00462663" w:rsidP="00462663">
                      <w:pPr>
                        <w:spacing w:before="120"/>
                        <w:rPr>
                          <w:rFonts w:hAnsi="Arial"/>
                          <w:color w:val="70787E" w:themeColor="accent3"/>
                          <w:kern w:val="24"/>
                          <w:sz w:val="12"/>
                          <w:szCs w:val="12"/>
                        </w:rPr>
                      </w:pPr>
                      <w:r w:rsidRPr="000932A4">
                        <w:rPr>
                          <w:rFonts w:hAnsi="Arial"/>
                          <w:color w:val="70787E" w:themeColor="accent3"/>
                          <w:kern w:val="24"/>
                          <w:sz w:val="12"/>
                          <w:szCs w:val="12"/>
                        </w:rPr>
                        <w:t>This report is sponsored by UnitedHealth Group (UHG).  With Advisory Board’s input, UHG developed such report and the content contained in such report.  Advisory Board does not endorse any company, organization, product or brand mentioned herein.</w:t>
                      </w:r>
                    </w:p>
                    <w:p w14:paraId="469E6024" w14:textId="77777777" w:rsidR="00462663" w:rsidRDefault="00462663" w:rsidP="00462663">
                      <w:pPr>
                        <w:spacing w:before="120"/>
                        <w:rPr>
                          <w:rFonts w:hAnsi="Arial"/>
                          <w:color w:val="70787E" w:themeColor="accent3"/>
                          <w:kern w:val="24"/>
                          <w:sz w:val="12"/>
                          <w:szCs w:val="12"/>
                        </w:rPr>
                      </w:pPr>
                      <w:r>
                        <w:rPr>
                          <w:rFonts w:hAnsi="Arial"/>
                          <w:color w:val="70787E" w:themeColor="accent3"/>
                          <w:kern w:val="24"/>
                          <w:sz w:val="12"/>
                          <w:szCs w:val="12"/>
                        </w:rPr>
                        <w:t xml:space="preserve">This report should be used for educational purposes only. Advisory Board has made efforts to verify the accuracy of the information contained herein. Advisory Board relies on data obtained from many sources and cannot guarantee the accuracy of the information provided or any analysis based thereon. In addition, Advisory Board is not in the business of giving legal, medical, accounting, or other professional advice, and its reports should not be construed as professional advice. </w:t>
                      </w:r>
                      <w:proofErr w:type="gramStart"/>
                      <w:r>
                        <w:rPr>
                          <w:rFonts w:hAnsi="Arial"/>
                          <w:color w:val="70787E" w:themeColor="accent3"/>
                          <w:kern w:val="24"/>
                          <w:sz w:val="12"/>
                          <w:szCs w:val="12"/>
                        </w:rPr>
                        <w:t>In particular, readers</w:t>
                      </w:r>
                      <w:proofErr w:type="gramEnd"/>
                      <w:r>
                        <w:rPr>
                          <w:rFonts w:hAnsi="Arial"/>
                          <w:color w:val="70787E" w:themeColor="accent3"/>
                          <w:kern w:val="24"/>
                          <w:sz w:val="12"/>
                          <w:szCs w:val="12"/>
                        </w:rPr>
                        <w:t xml:space="preserve"> should not rely on any legal commentary in this report as a basis for </w:t>
                      </w:r>
                      <w:proofErr w:type="gramStart"/>
                      <w:r>
                        <w:rPr>
                          <w:rFonts w:hAnsi="Arial"/>
                          <w:color w:val="70787E" w:themeColor="accent3"/>
                          <w:kern w:val="24"/>
                          <w:sz w:val="12"/>
                          <w:szCs w:val="12"/>
                        </w:rPr>
                        <w:t>action, or</w:t>
                      </w:r>
                      <w:proofErr w:type="gramEnd"/>
                      <w:r>
                        <w:rPr>
                          <w:rFonts w:hAnsi="Arial"/>
                          <w:color w:val="70787E" w:themeColor="accent3"/>
                          <w:kern w:val="24"/>
                          <w:sz w:val="12"/>
                          <w:szCs w:val="12"/>
                        </w:rPr>
                        <w:t xml:space="preserve"> assume that any tactics described herein would be permitted by applicable law or appropriate for a given reader's situation. Readers are advised to consult with appropriate professionals concerning legal, medical, tax, or accounting issues, before implementing any of these tactics. Neither Advisory Board nor its officers, directors, trustees, employees, and agents shall be liable for any claims, liabilities, or expenses relating to (a) any errors or omissions in this report, whether caused by Advisory Board or any of its employees or agents, or sources or other third parties, (b) any recommendation or graded ranking by Advisory Board, or (c) failure of reader and its employees and agents to abide by the terms set forth herein. </w:t>
                      </w:r>
                    </w:p>
                    <w:p w14:paraId="44DB22E3" w14:textId="77777777" w:rsidR="00462663" w:rsidRDefault="00462663" w:rsidP="00462663">
                      <w:pPr>
                        <w:spacing w:before="120"/>
                        <w:rPr>
                          <w:rFonts w:hAnsi="Arial"/>
                          <w:color w:val="70787E" w:themeColor="accent3"/>
                          <w:kern w:val="24"/>
                          <w:sz w:val="12"/>
                          <w:szCs w:val="12"/>
                        </w:rPr>
                      </w:pPr>
                      <w:r>
                        <w:rPr>
                          <w:rFonts w:hAnsi="Arial"/>
                          <w:color w:val="70787E" w:themeColor="accent3"/>
                          <w:kern w:val="24"/>
                          <w:sz w:val="12"/>
                          <w:szCs w:val="12"/>
                        </w:rPr>
                        <w:t>UnitedHealth Group has obtained distribution rights to this content for the purpose of customer education. It is the policy of Advisory Board to enforce its intellectual property rights to the fullest extent permitted under law. The entire content of this report, including any images or text, is copyrighted and may not be distributed, modified, reused, or otherwise used except as provided herein without the express written permission of Advisory Board. The use or misuse of the Advisory Board trademarks, copyrights, or other materials, except as permitted herein, is expressly prohibited and may be in violation of copyright law, trademark law, communications regulations and statutes, and other laws, statutes and/or regulations.</w:t>
                      </w:r>
                    </w:p>
                  </w:txbxContent>
                </v:textbox>
              </v:shape>
            </w:pict>
          </mc:Fallback>
        </mc:AlternateContent>
      </w:r>
      <w:r w:rsidRPr="005B61CA">
        <w:rPr>
          <w:noProof/>
        </w:rPr>
        <mc:AlternateContent>
          <mc:Choice Requires="wps">
            <w:drawing>
              <wp:anchor distT="0" distB="0" distL="114300" distR="114300" simplePos="0" relativeHeight="251658245" behindDoc="0" locked="0" layoutInCell="1" allowOverlap="1" wp14:anchorId="4304F98D" wp14:editId="0150C368">
                <wp:simplePos x="0" y="0"/>
                <wp:positionH relativeFrom="column">
                  <wp:posOffset>0</wp:posOffset>
                </wp:positionH>
                <wp:positionV relativeFrom="paragraph">
                  <wp:posOffset>340995</wp:posOffset>
                </wp:positionV>
                <wp:extent cx="5448300" cy="0"/>
                <wp:effectExtent l="0" t="0" r="0" b="0"/>
                <wp:wrapNone/>
                <wp:docPr id="10" name="Legal caveat stroke">
                  <a:extLst xmlns:a="http://schemas.openxmlformats.org/drawingml/2006/main">
                    <a:ext uri="{FF2B5EF4-FFF2-40B4-BE49-F238E27FC236}">
                      <a16:creationId xmlns:a16="http://schemas.microsoft.com/office/drawing/2014/main" id="{94F601EA-2D0B-61F6-A7BB-FA0482DADE75}"/>
                    </a:ext>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gray">
                        <a:xfrm>
                          <a:off x="0" y="0"/>
                          <a:ext cx="5448300" cy="0"/>
                        </a:xfrm>
                        <a:prstGeom prst="line">
                          <a:avLst/>
                        </a:prstGeom>
                        <a:ln w="9525">
                          <a:solidFill>
                            <a:schemeClr val="tx1"/>
                          </a:solidFill>
                          <a:miter lim="800000"/>
                          <a:headEnd type="none"/>
                          <a:tailEnd type="non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xmlns:adec="http://schemas.microsoft.com/office/drawing/2017/decorative" xmlns:a16="http://schemas.microsoft.com/office/drawing/2014/main" xmlns:asvg="http://schemas.microsoft.com/office/drawing/2016/SVG/main" xmlns:pic="http://schemas.openxmlformats.org/drawingml/2006/picture" xmlns:a="http://schemas.openxmlformats.org/drawingml/2006/main">
            <w:pict w14:anchorId="4C6CEBFF">
              <v:line id="Legal caveat stroke" style="position:absolute;z-index:251658245;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323e48 [3213]" o:bwmode="grayScale" from="0,26.85pt" to="429pt,26.85pt" w14:anchorId="0EAB60B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">
                <v:stroke joinstyle="miter"/>
                <o:lock v:ext="edit" shapetype="f"/>
              </v:line>
            </w:pict>
          </mc:Fallback>
        </mc:AlternateContent>
      </w:r>
      <w:r w:rsidRPr="005B61CA">
        <w:rPr>
          <w:noProof/>
        </w:rPr>
        <mc:AlternateContent>
          <mc:Choice Requires="wps">
            <w:drawing>
              <wp:anchor distT="0" distB="0" distL="114300" distR="114300" simplePos="0" relativeHeight="251658244" behindDoc="0" locked="0" layoutInCell="1" allowOverlap="1" wp14:anchorId="65407F02" wp14:editId="22142714">
                <wp:simplePos x="0" y="0"/>
                <wp:positionH relativeFrom="column">
                  <wp:posOffset>0</wp:posOffset>
                </wp:positionH>
                <wp:positionV relativeFrom="paragraph">
                  <wp:posOffset>186690</wp:posOffset>
                </wp:positionV>
                <wp:extent cx="1219200" cy="114935"/>
                <wp:effectExtent l="0" t="0" r="0" b="0"/>
                <wp:wrapNone/>
                <wp:docPr id="4" name="Legal caveat">
                  <a:extLst xmlns:a="http://schemas.openxmlformats.org/drawingml/2006/main">
                    <a:ext uri="{FF2B5EF4-FFF2-40B4-BE49-F238E27FC236}">
                      <a16:creationId xmlns:a16="http://schemas.microsoft.com/office/drawing/2014/main" id="{6C47BBB5-1FD1-A894-5C12-1FAF12634124}"/>
                    </a:ext>
                  </a:extLst>
                </wp:docPr>
                <wp:cNvGraphicFramePr/>
                <a:graphic xmlns:a="http://schemas.openxmlformats.org/drawingml/2006/main">
                  <a:graphicData uri="http://schemas.microsoft.com/office/word/2010/wordprocessingShape">
                    <wps:wsp>
                      <wps:cNvSpPr txBox="1"/>
                      <wps:spPr bwMode="gray">
                        <a:xfrm>
                          <a:off x="0" y="0"/>
                          <a:ext cx="1219200" cy="114935"/>
                        </a:xfrm>
                        <a:prstGeom prst="rect">
                          <a:avLst/>
                        </a:prstGeom>
                        <a:noFill/>
                      </wps:spPr>
                      <wps:txbx>
                        <w:txbxContent>
                          <w:p w14:paraId="3638718F" w14:textId="77777777" w:rsidR="00462663" w:rsidRDefault="00462663" w:rsidP="00462663">
                            <w:pPr>
                              <w:spacing w:before="80"/>
                              <w:rPr>
                                <w:rFonts w:hAnsi="Arial"/>
                                <w:color w:val="445460" w:themeColor="accent4"/>
                                <w:kern w:val="24"/>
                                <w:sz w:val="15"/>
                                <w:szCs w:val="15"/>
                              </w:rPr>
                            </w:pPr>
                            <w:r>
                              <w:rPr>
                                <w:rFonts w:hAnsi="Arial"/>
                                <w:color w:val="445460" w:themeColor="accent4"/>
                                <w:kern w:val="24"/>
                                <w:sz w:val="15"/>
                                <w:szCs w:val="15"/>
                              </w:rPr>
                              <w:t>LEGAL CAVEAT</w:t>
                            </w:r>
                          </w:p>
                        </w:txbxContent>
                      </wps:txbx>
                      <wps:bodyPr wrap="square" lIns="0" tIns="0" rIns="0" bIns="0" rtlCol="0">
                        <a:spAutoFit/>
                      </wps:bodyPr>
                    </wps:wsp>
                  </a:graphicData>
                </a:graphic>
              </wp:anchor>
            </w:drawing>
          </mc:Choice>
          <mc:Fallback>
            <w:pict>
              <v:shape w14:anchorId="65407F02" id="_x0000_s1030" type="#_x0000_t202" style="position:absolute;left:0;text-align:left;margin-left:0;margin-top:14.7pt;width:96pt;height:9.05pt;z-index:251658244;visibility:visible;mso-wrap-style:square;mso-wrap-distance-left:9pt;mso-wrap-distance-top:0;mso-wrap-distance-right:9pt;mso-wrap-distance-bottom:0;mso-position-horizontal:absolute;mso-position-horizontal-relative:text;mso-position-vertical:absolute;mso-position-vertical-relative:text;v-text-anchor:top" o:bwmode="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" filled="f" stroked="f">
                <v:textbox style="mso-fit-shape-to-text:t" inset="0,0,0,0">
                  <w:txbxContent>
                    <w:p w14:paraId="3638718F" w14:textId="77777777" w:rsidR="00462663" w:rsidRDefault="00462663" w:rsidP="00462663">
                      <w:pPr>
                        <w:spacing w:before="80"/>
                        <w:rPr>
                          <w:rFonts w:hAnsi="Arial"/>
                          <w:color w:val="445460" w:themeColor="accent4"/>
                          <w:kern w:val="24"/>
                          <w:sz w:val="15"/>
                          <w:szCs w:val="15"/>
                        </w:rPr>
                      </w:pPr>
                      <w:r>
                        <w:rPr>
                          <w:rFonts w:hAnsi="Arial"/>
                          <w:color w:val="445460" w:themeColor="accent4"/>
                          <w:kern w:val="24"/>
                          <w:sz w:val="15"/>
                          <w:szCs w:val="15"/>
                        </w:rPr>
                        <w:t>LEGAL CAVEAT</w:t>
                      </w:r>
                    </w:p>
                  </w:txbxContent>
                </v:textbox>
              </v:shape>
            </w:pict>
          </mc:Fallback>
        </mc:AlternateContent>
      </w:r>
    </w:p>
    <w:sectPr w:rsidR="00C879EE" w:rsidRPr="00656CD8" w:rsidSect="00EB56E6">
      <w:footerReference w:type="default" r:id="rId18"/>
      <w:pgSz w:w="12240" w:h="15840"/>
      <w:pgMar w:top="720" w:right="936" w:bottom="432" w:left="936" w:header="576" w:footer="51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DAF6DD" w14:textId="77777777" w:rsidR="0025368F" w:rsidRDefault="0025368F" w:rsidP="00A26657">
      <w:r>
        <w:separator/>
      </w:r>
    </w:p>
    <w:p w14:paraId="253D28CB" w14:textId="77777777" w:rsidR="0025368F" w:rsidRDefault="0025368F"/>
  </w:endnote>
  <w:endnote w:type="continuationSeparator" w:id="0">
    <w:p w14:paraId="210AA327" w14:textId="77777777" w:rsidR="0025368F" w:rsidRDefault="0025368F" w:rsidP="00A26657">
      <w:r>
        <w:continuationSeparator/>
      </w:r>
    </w:p>
    <w:p w14:paraId="3021D7DA" w14:textId="77777777" w:rsidR="0025368F" w:rsidRDefault="002536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Sans-Serif">
    <w:altName w:val="Arial"/>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PMincho">
    <w:charset w:val="80"/>
    <w:family w:val="roman"/>
    <w:pitch w:val="variable"/>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4082F" w14:textId="40735E13" w:rsidR="006126E0" w:rsidRPr="00FC085D" w:rsidRDefault="006126E0" w:rsidP="00FC085D">
    <w:pPr>
      <w:pStyle w:val="Footer"/>
      <w:tabs>
        <w:tab w:val="clear" w:pos="4680"/>
        <w:tab w:val="clear" w:pos="9360"/>
        <w:tab w:val="right" w:pos="10350"/>
      </w:tabs>
      <w:spacing w:before="160"/>
      <w:rPr>
        <w:rFonts w:asciiTheme="majorHAnsi" w:hAnsiTheme="majorHAnsi" w:cstheme="majorHAnsi"/>
        <w:bCs/>
        <w:sz w:val="16"/>
        <w:szCs w:val="16"/>
      </w:rPr>
    </w:pPr>
    <w:r w:rsidRPr="00FC085D">
      <w:rPr>
        <w:rFonts w:asciiTheme="majorHAnsi" w:hAnsiTheme="majorHAnsi" w:cstheme="majorHAnsi"/>
        <w:sz w:val="12"/>
        <w:szCs w:val="12"/>
      </w:rPr>
      <w:t xml:space="preserve">© </w:t>
    </w:r>
    <w:r w:rsidR="002955B7">
      <w:rPr>
        <w:rFonts w:asciiTheme="majorHAnsi" w:hAnsiTheme="majorHAnsi" w:cstheme="majorHAnsi"/>
        <w:sz w:val="12"/>
        <w:szCs w:val="12"/>
      </w:rPr>
      <w:t>202</w:t>
    </w:r>
    <w:r w:rsidR="009E5C4A">
      <w:rPr>
        <w:rFonts w:asciiTheme="majorHAnsi" w:hAnsiTheme="majorHAnsi" w:cstheme="majorHAnsi"/>
        <w:sz w:val="12"/>
        <w:szCs w:val="12"/>
      </w:rPr>
      <w:t>6</w:t>
    </w:r>
    <w:r w:rsidRPr="00FC085D">
      <w:rPr>
        <w:rFonts w:asciiTheme="majorHAnsi" w:hAnsiTheme="majorHAnsi" w:cstheme="majorHAnsi"/>
        <w:sz w:val="12"/>
        <w:szCs w:val="12"/>
      </w:rPr>
      <w:t xml:space="preserve"> Advisory Board • All rights reserved • </w:t>
    </w:r>
    <w:hyperlink r:id="rId1" w:history="1">
      <w:r w:rsidRPr="00FC085D">
        <w:rPr>
          <w:rStyle w:val="Hyperlink"/>
          <w:rFonts w:asciiTheme="majorHAnsi" w:hAnsiTheme="majorHAnsi" w:cstheme="majorHAnsi"/>
          <w:b/>
          <w:noProof/>
          <w:color w:val="323E48" w:themeColor="text1"/>
          <w:sz w:val="12"/>
          <w:szCs w:val="12"/>
          <w:u w:val="none"/>
        </w:rPr>
        <w:t>advisory.com</w:t>
      </w:r>
    </w:hyperlink>
    <w:r>
      <w:rPr>
        <w:rStyle w:val="Hyperlink"/>
        <w:rFonts w:asciiTheme="majorHAnsi" w:hAnsiTheme="majorHAnsi" w:cstheme="majorHAnsi"/>
        <w:bCs/>
        <w:noProof/>
        <w:color w:val="323E48" w:themeColor="text1"/>
        <w:sz w:val="12"/>
        <w:szCs w:val="12"/>
        <w:u w:val="none"/>
      </w:rPr>
      <w:tab/>
    </w:r>
    <w:r w:rsidRPr="00FC085D">
      <w:rPr>
        <w:rStyle w:val="Hyperlink"/>
        <w:rFonts w:asciiTheme="majorHAnsi" w:hAnsiTheme="majorHAnsi" w:cstheme="majorHAnsi"/>
        <w:bCs/>
        <w:noProof/>
        <w:color w:val="323E48" w:themeColor="text1"/>
        <w:sz w:val="16"/>
        <w:szCs w:val="16"/>
        <w:u w:val="none"/>
      </w:rPr>
      <w:t xml:space="preserve">pg. </w:t>
    </w:r>
    <w:r w:rsidRPr="00FC085D">
      <w:rPr>
        <w:rStyle w:val="Hyperlink"/>
        <w:rFonts w:asciiTheme="majorHAnsi" w:hAnsiTheme="majorHAnsi" w:cstheme="majorHAnsi"/>
        <w:bCs/>
        <w:noProof/>
        <w:color w:val="323E48" w:themeColor="text1"/>
        <w:sz w:val="16"/>
        <w:szCs w:val="16"/>
        <w:u w:val="none"/>
      </w:rPr>
      <w:fldChar w:fldCharType="begin"/>
    </w:r>
    <w:r w:rsidRPr="00FC085D">
      <w:rPr>
        <w:rStyle w:val="Hyperlink"/>
        <w:rFonts w:asciiTheme="majorHAnsi" w:hAnsiTheme="majorHAnsi" w:cstheme="majorHAnsi"/>
        <w:bCs/>
        <w:noProof/>
        <w:color w:val="323E48" w:themeColor="text1"/>
        <w:sz w:val="16"/>
        <w:szCs w:val="16"/>
        <w:u w:val="none"/>
      </w:rPr>
      <w:instrText xml:space="preserve"> PAGE   \* MERGEFORMAT </w:instrText>
    </w:r>
    <w:r w:rsidRPr="00FC085D">
      <w:rPr>
        <w:rStyle w:val="Hyperlink"/>
        <w:rFonts w:asciiTheme="majorHAnsi" w:hAnsiTheme="majorHAnsi" w:cstheme="majorHAnsi"/>
        <w:bCs/>
        <w:noProof/>
        <w:color w:val="323E48" w:themeColor="text1"/>
        <w:sz w:val="16"/>
        <w:szCs w:val="16"/>
        <w:u w:val="none"/>
      </w:rPr>
      <w:fldChar w:fldCharType="separate"/>
    </w:r>
    <w:r w:rsidRPr="00FC085D">
      <w:rPr>
        <w:rStyle w:val="Hyperlink"/>
        <w:rFonts w:asciiTheme="majorHAnsi" w:hAnsiTheme="majorHAnsi" w:cstheme="majorHAnsi"/>
        <w:bCs/>
        <w:noProof/>
        <w:color w:val="323E48" w:themeColor="text1"/>
        <w:sz w:val="16"/>
        <w:szCs w:val="16"/>
        <w:u w:val="none"/>
      </w:rPr>
      <w:t>1</w:t>
    </w:r>
    <w:r w:rsidRPr="00FC085D">
      <w:rPr>
        <w:rStyle w:val="Hyperlink"/>
        <w:rFonts w:asciiTheme="majorHAnsi" w:hAnsiTheme="majorHAnsi" w:cstheme="majorHAnsi"/>
        <w:bCs/>
        <w:noProof/>
        <w:color w:val="323E48" w:themeColor="text1"/>
        <w:sz w:val="16"/>
        <w:szCs w:val="16"/>
        <w:u w:val="non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030F9D" w14:textId="77777777" w:rsidR="0025368F" w:rsidRPr="00BB1529" w:rsidRDefault="0025368F" w:rsidP="00BB1529">
      <w:pPr>
        <w:pStyle w:val="ABNormal"/>
        <w:rPr>
          <w:sz w:val="14"/>
          <w:szCs w:val="14"/>
        </w:rPr>
      </w:pPr>
    </w:p>
  </w:footnote>
  <w:footnote w:type="continuationSeparator" w:id="0">
    <w:p w14:paraId="499DAFDE" w14:textId="77777777" w:rsidR="0025368F" w:rsidRDefault="0025368F" w:rsidP="00A26657">
      <w:r>
        <w:continuationSeparator/>
      </w:r>
    </w:p>
    <w:p w14:paraId="4170AABF" w14:textId="77777777" w:rsidR="0025368F" w:rsidRDefault="0025368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36E517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A9F2634"/>
    <w:multiLevelType w:val="multilevel"/>
    <w:tmpl w:val="F06E6CC8"/>
    <w:lvl w:ilvl="0">
      <w:start w:val="1"/>
      <w:numFmt w:val="decimal"/>
      <w:lvlText w:val="%1."/>
      <w:lvlJc w:val="left"/>
      <w:pPr>
        <w:ind w:left="187" w:hanging="187"/>
      </w:pPr>
      <w:rPr>
        <w:rFonts w:hint="default"/>
      </w:rPr>
    </w:lvl>
    <w:lvl w:ilvl="1">
      <w:start w:val="1"/>
      <w:numFmt w:val="bullet"/>
      <w:lvlText w:val="–"/>
      <w:lvlJc w:val="left"/>
      <w:pPr>
        <w:ind w:left="374" w:hanging="187"/>
      </w:pPr>
      <w:rPr>
        <w:rFonts w:ascii="Arial" w:hAnsi="Arial" w:hint="default"/>
      </w:rPr>
    </w:lvl>
    <w:lvl w:ilvl="2">
      <w:start w:val="1"/>
      <w:numFmt w:val="bullet"/>
      <w:lvlText w:val="•"/>
      <w:lvlJc w:val="left"/>
      <w:pPr>
        <w:ind w:left="561" w:hanging="187"/>
      </w:pPr>
      <w:rPr>
        <w:rFonts w:ascii="Arial" w:hAnsi="Arial" w:hint="default"/>
      </w:rPr>
    </w:lvl>
    <w:lvl w:ilvl="3">
      <w:start w:val="1"/>
      <w:numFmt w:val="bullet"/>
      <w:lvlText w:val="–"/>
      <w:lvlJc w:val="left"/>
      <w:pPr>
        <w:ind w:left="748" w:hanging="187"/>
      </w:pPr>
      <w:rPr>
        <w:rFonts w:ascii="Arial" w:hAnsi="Arial" w:hint="default"/>
      </w:rPr>
    </w:lvl>
    <w:lvl w:ilvl="4">
      <w:start w:val="1"/>
      <w:numFmt w:val="bullet"/>
      <w:lvlText w:val="•"/>
      <w:lvlJc w:val="left"/>
      <w:pPr>
        <w:ind w:left="935" w:hanging="187"/>
      </w:pPr>
      <w:rPr>
        <w:rFonts w:ascii="Arial" w:hAnsi="Arial" w:hint="default"/>
      </w:rPr>
    </w:lvl>
    <w:lvl w:ilvl="5">
      <w:start w:val="1"/>
      <w:numFmt w:val="bullet"/>
      <w:lvlText w:val="–"/>
      <w:lvlJc w:val="left"/>
      <w:pPr>
        <w:ind w:left="1122" w:hanging="187"/>
      </w:pPr>
      <w:rPr>
        <w:rFonts w:ascii="Arial" w:hAnsi="Arial" w:hint="default"/>
      </w:rPr>
    </w:lvl>
    <w:lvl w:ilvl="6">
      <w:start w:val="1"/>
      <w:numFmt w:val="bullet"/>
      <w:lvlText w:val="•"/>
      <w:lvlJc w:val="left"/>
      <w:pPr>
        <w:ind w:left="1309" w:hanging="187"/>
      </w:pPr>
      <w:rPr>
        <w:rFonts w:ascii="Arial" w:hAnsi="Arial" w:hint="default"/>
      </w:rPr>
    </w:lvl>
    <w:lvl w:ilvl="7">
      <w:start w:val="1"/>
      <w:numFmt w:val="bullet"/>
      <w:lvlText w:val="–"/>
      <w:lvlJc w:val="left"/>
      <w:pPr>
        <w:ind w:left="1496" w:hanging="187"/>
      </w:pPr>
      <w:rPr>
        <w:rFonts w:ascii="Arial" w:hAnsi="Arial" w:hint="default"/>
      </w:rPr>
    </w:lvl>
    <w:lvl w:ilvl="8">
      <w:start w:val="1"/>
      <w:numFmt w:val="bullet"/>
      <w:lvlText w:val="•"/>
      <w:lvlJc w:val="left"/>
      <w:pPr>
        <w:ind w:left="1683" w:hanging="187"/>
      </w:pPr>
      <w:rPr>
        <w:rFonts w:ascii="Arial" w:hAnsi="Arial" w:hint="default"/>
      </w:rPr>
    </w:lvl>
  </w:abstractNum>
  <w:abstractNum w:abstractNumId="2" w15:restartNumberingAfterBreak="0">
    <w:nsid w:val="131D75FD"/>
    <w:multiLevelType w:val="multilevel"/>
    <w:tmpl w:val="6EB47B6A"/>
    <w:lvl w:ilvl="0">
      <w:start w:val="1"/>
      <w:numFmt w:val="bullet"/>
      <w:pStyle w:val="ABSectionBullets"/>
      <w:lvlText w:val="•"/>
      <w:lvlJc w:val="left"/>
      <w:pPr>
        <w:ind w:left="2894" w:hanging="187"/>
      </w:pPr>
      <w:rPr>
        <w:rFonts w:ascii="Arial" w:hAnsi="Arial" w:hint="default"/>
        <w:color w:val="CE0E2D" w:themeColor="accent6"/>
      </w:rPr>
    </w:lvl>
    <w:lvl w:ilvl="1">
      <w:start w:val="1"/>
      <w:numFmt w:val="bullet"/>
      <w:lvlText w:val="–"/>
      <w:lvlJc w:val="left"/>
      <w:pPr>
        <w:ind w:left="3081" w:hanging="187"/>
      </w:pPr>
      <w:rPr>
        <w:rFonts w:ascii="Arial" w:hAnsi="Arial" w:hint="default"/>
        <w:color w:val="CE0E2D" w:themeColor="accent6"/>
      </w:rPr>
    </w:lvl>
    <w:lvl w:ilvl="2">
      <w:start w:val="1"/>
      <w:numFmt w:val="bullet"/>
      <w:lvlText w:val="•"/>
      <w:lvlJc w:val="left"/>
      <w:pPr>
        <w:ind w:left="3268" w:hanging="187"/>
      </w:pPr>
      <w:rPr>
        <w:rFonts w:ascii="Arial" w:hAnsi="Arial" w:hint="default"/>
        <w:color w:val="CE0E2D" w:themeColor="accent6"/>
      </w:rPr>
    </w:lvl>
    <w:lvl w:ilvl="3">
      <w:start w:val="1"/>
      <w:numFmt w:val="bullet"/>
      <w:lvlText w:val="–"/>
      <w:lvlJc w:val="left"/>
      <w:pPr>
        <w:ind w:left="3455" w:hanging="187"/>
      </w:pPr>
      <w:rPr>
        <w:rFonts w:ascii="Arial" w:hAnsi="Arial" w:hint="default"/>
        <w:color w:val="CE0E2D" w:themeColor="accent6"/>
      </w:rPr>
    </w:lvl>
    <w:lvl w:ilvl="4">
      <w:start w:val="1"/>
      <w:numFmt w:val="bullet"/>
      <w:lvlText w:val="•"/>
      <w:lvlJc w:val="left"/>
      <w:pPr>
        <w:ind w:left="3642" w:hanging="187"/>
      </w:pPr>
      <w:rPr>
        <w:rFonts w:ascii="Arial" w:hAnsi="Arial" w:hint="default"/>
        <w:color w:val="CE0E2D" w:themeColor="accent6"/>
      </w:rPr>
    </w:lvl>
    <w:lvl w:ilvl="5">
      <w:start w:val="1"/>
      <w:numFmt w:val="bullet"/>
      <w:lvlText w:val="–"/>
      <w:lvlJc w:val="left"/>
      <w:pPr>
        <w:ind w:left="3829" w:hanging="187"/>
      </w:pPr>
      <w:rPr>
        <w:rFonts w:ascii="Arial" w:hAnsi="Arial" w:hint="default"/>
        <w:color w:val="CE0E2D" w:themeColor="accent6"/>
      </w:rPr>
    </w:lvl>
    <w:lvl w:ilvl="6">
      <w:start w:val="1"/>
      <w:numFmt w:val="bullet"/>
      <w:lvlText w:val="•"/>
      <w:lvlJc w:val="left"/>
      <w:pPr>
        <w:ind w:left="4016" w:hanging="187"/>
      </w:pPr>
      <w:rPr>
        <w:rFonts w:ascii="Arial" w:hAnsi="Arial" w:hint="default"/>
        <w:color w:val="CE0E2D" w:themeColor="accent6"/>
      </w:rPr>
    </w:lvl>
    <w:lvl w:ilvl="7">
      <w:start w:val="1"/>
      <w:numFmt w:val="bullet"/>
      <w:lvlText w:val="–"/>
      <w:lvlJc w:val="left"/>
      <w:pPr>
        <w:ind w:left="4203" w:hanging="187"/>
      </w:pPr>
      <w:rPr>
        <w:rFonts w:ascii="Arial" w:hAnsi="Arial" w:hint="default"/>
        <w:color w:val="CE0E2D" w:themeColor="accent6"/>
      </w:rPr>
    </w:lvl>
    <w:lvl w:ilvl="8">
      <w:start w:val="1"/>
      <w:numFmt w:val="bullet"/>
      <w:lvlText w:val="•"/>
      <w:lvlJc w:val="left"/>
      <w:pPr>
        <w:ind w:left="4390" w:hanging="187"/>
      </w:pPr>
      <w:rPr>
        <w:rFonts w:ascii="Arial" w:hAnsi="Arial" w:hint="default"/>
        <w:color w:val="CE0E2D" w:themeColor="accent6"/>
      </w:rPr>
    </w:lvl>
  </w:abstractNum>
  <w:abstractNum w:abstractNumId="3" w15:restartNumberingAfterBreak="0">
    <w:nsid w:val="1D696D5D"/>
    <w:multiLevelType w:val="multilevel"/>
    <w:tmpl w:val="F06E6CC8"/>
    <w:lvl w:ilvl="0">
      <w:start w:val="1"/>
      <w:numFmt w:val="decimal"/>
      <w:lvlText w:val="%1."/>
      <w:lvlJc w:val="left"/>
      <w:pPr>
        <w:ind w:left="187" w:hanging="187"/>
      </w:pPr>
      <w:rPr>
        <w:rFonts w:hint="default"/>
      </w:rPr>
    </w:lvl>
    <w:lvl w:ilvl="1">
      <w:start w:val="1"/>
      <w:numFmt w:val="bullet"/>
      <w:lvlText w:val="–"/>
      <w:lvlJc w:val="left"/>
      <w:pPr>
        <w:ind w:left="374" w:hanging="187"/>
      </w:pPr>
      <w:rPr>
        <w:rFonts w:ascii="Arial" w:hAnsi="Arial" w:hint="default"/>
      </w:rPr>
    </w:lvl>
    <w:lvl w:ilvl="2">
      <w:start w:val="1"/>
      <w:numFmt w:val="bullet"/>
      <w:lvlText w:val="•"/>
      <w:lvlJc w:val="left"/>
      <w:pPr>
        <w:ind w:left="561" w:hanging="187"/>
      </w:pPr>
      <w:rPr>
        <w:rFonts w:ascii="Arial" w:hAnsi="Arial" w:hint="default"/>
      </w:rPr>
    </w:lvl>
    <w:lvl w:ilvl="3">
      <w:start w:val="1"/>
      <w:numFmt w:val="bullet"/>
      <w:lvlText w:val="–"/>
      <w:lvlJc w:val="left"/>
      <w:pPr>
        <w:ind w:left="748" w:hanging="187"/>
      </w:pPr>
      <w:rPr>
        <w:rFonts w:ascii="Arial" w:hAnsi="Arial" w:hint="default"/>
      </w:rPr>
    </w:lvl>
    <w:lvl w:ilvl="4">
      <w:start w:val="1"/>
      <w:numFmt w:val="bullet"/>
      <w:lvlText w:val="•"/>
      <w:lvlJc w:val="left"/>
      <w:pPr>
        <w:ind w:left="935" w:hanging="187"/>
      </w:pPr>
      <w:rPr>
        <w:rFonts w:ascii="Arial" w:hAnsi="Arial" w:hint="default"/>
      </w:rPr>
    </w:lvl>
    <w:lvl w:ilvl="5">
      <w:start w:val="1"/>
      <w:numFmt w:val="bullet"/>
      <w:lvlText w:val="–"/>
      <w:lvlJc w:val="left"/>
      <w:pPr>
        <w:ind w:left="1122" w:hanging="187"/>
      </w:pPr>
      <w:rPr>
        <w:rFonts w:ascii="Arial" w:hAnsi="Arial" w:hint="default"/>
      </w:rPr>
    </w:lvl>
    <w:lvl w:ilvl="6">
      <w:start w:val="1"/>
      <w:numFmt w:val="bullet"/>
      <w:lvlText w:val="•"/>
      <w:lvlJc w:val="left"/>
      <w:pPr>
        <w:ind w:left="1309" w:hanging="187"/>
      </w:pPr>
      <w:rPr>
        <w:rFonts w:ascii="Arial" w:hAnsi="Arial" w:hint="default"/>
      </w:rPr>
    </w:lvl>
    <w:lvl w:ilvl="7">
      <w:start w:val="1"/>
      <w:numFmt w:val="bullet"/>
      <w:lvlText w:val="–"/>
      <w:lvlJc w:val="left"/>
      <w:pPr>
        <w:ind w:left="1496" w:hanging="187"/>
      </w:pPr>
      <w:rPr>
        <w:rFonts w:ascii="Arial" w:hAnsi="Arial" w:hint="default"/>
      </w:rPr>
    </w:lvl>
    <w:lvl w:ilvl="8">
      <w:start w:val="1"/>
      <w:numFmt w:val="bullet"/>
      <w:lvlText w:val="•"/>
      <w:lvlJc w:val="left"/>
      <w:pPr>
        <w:ind w:left="1683" w:hanging="187"/>
      </w:pPr>
      <w:rPr>
        <w:rFonts w:ascii="Arial" w:hAnsi="Arial" w:hint="default"/>
      </w:rPr>
    </w:lvl>
  </w:abstractNum>
  <w:abstractNum w:abstractNumId="4" w15:restartNumberingAfterBreak="0">
    <w:nsid w:val="1E53467F"/>
    <w:multiLevelType w:val="hybridMultilevel"/>
    <w:tmpl w:val="28C21E92"/>
    <w:lvl w:ilvl="0" w:tplc="2B7A2D7A">
      <w:start w:val="1"/>
      <w:numFmt w:val="bullet"/>
      <w:lvlText w:val=""/>
      <w:lvlJc w:val="left"/>
      <w:pPr>
        <w:ind w:left="720" w:hanging="360"/>
      </w:pPr>
      <w:rPr>
        <w:rFonts w:ascii="Arial,Sans-Serif" w:hAnsi="Arial,Sans-Serif" w:hint="default"/>
      </w:rPr>
    </w:lvl>
    <w:lvl w:ilvl="1" w:tplc="EA7AE15E">
      <w:start w:val="1"/>
      <w:numFmt w:val="bullet"/>
      <w:lvlText w:val="o"/>
      <w:lvlJc w:val="left"/>
      <w:pPr>
        <w:ind w:left="1440" w:hanging="360"/>
      </w:pPr>
      <w:rPr>
        <w:rFonts w:ascii="Courier New" w:hAnsi="Courier New" w:hint="default"/>
      </w:rPr>
    </w:lvl>
    <w:lvl w:ilvl="2" w:tplc="71264D20">
      <w:start w:val="1"/>
      <w:numFmt w:val="bullet"/>
      <w:lvlText w:val=""/>
      <w:lvlJc w:val="left"/>
      <w:pPr>
        <w:ind w:left="2160" w:hanging="360"/>
      </w:pPr>
      <w:rPr>
        <w:rFonts w:ascii="Wingdings" w:hAnsi="Wingdings" w:hint="default"/>
      </w:rPr>
    </w:lvl>
    <w:lvl w:ilvl="3" w:tplc="3D3A5758">
      <w:start w:val="1"/>
      <w:numFmt w:val="bullet"/>
      <w:lvlText w:val=""/>
      <w:lvlJc w:val="left"/>
      <w:pPr>
        <w:ind w:left="2880" w:hanging="360"/>
      </w:pPr>
      <w:rPr>
        <w:rFonts w:ascii="Symbol" w:hAnsi="Symbol" w:hint="default"/>
      </w:rPr>
    </w:lvl>
    <w:lvl w:ilvl="4" w:tplc="37E4AD6A">
      <w:start w:val="1"/>
      <w:numFmt w:val="bullet"/>
      <w:lvlText w:val="o"/>
      <w:lvlJc w:val="left"/>
      <w:pPr>
        <w:ind w:left="3600" w:hanging="360"/>
      </w:pPr>
      <w:rPr>
        <w:rFonts w:ascii="Courier New" w:hAnsi="Courier New" w:hint="default"/>
      </w:rPr>
    </w:lvl>
    <w:lvl w:ilvl="5" w:tplc="6C045696">
      <w:start w:val="1"/>
      <w:numFmt w:val="bullet"/>
      <w:lvlText w:val=""/>
      <w:lvlJc w:val="left"/>
      <w:pPr>
        <w:ind w:left="4320" w:hanging="360"/>
      </w:pPr>
      <w:rPr>
        <w:rFonts w:ascii="Wingdings" w:hAnsi="Wingdings" w:hint="default"/>
      </w:rPr>
    </w:lvl>
    <w:lvl w:ilvl="6" w:tplc="340C13D6">
      <w:start w:val="1"/>
      <w:numFmt w:val="bullet"/>
      <w:lvlText w:val=""/>
      <w:lvlJc w:val="left"/>
      <w:pPr>
        <w:ind w:left="5040" w:hanging="360"/>
      </w:pPr>
      <w:rPr>
        <w:rFonts w:ascii="Symbol" w:hAnsi="Symbol" w:hint="default"/>
      </w:rPr>
    </w:lvl>
    <w:lvl w:ilvl="7" w:tplc="37F4EE02">
      <w:start w:val="1"/>
      <w:numFmt w:val="bullet"/>
      <w:lvlText w:val="o"/>
      <w:lvlJc w:val="left"/>
      <w:pPr>
        <w:ind w:left="5760" w:hanging="360"/>
      </w:pPr>
      <w:rPr>
        <w:rFonts w:ascii="Courier New" w:hAnsi="Courier New" w:hint="default"/>
      </w:rPr>
    </w:lvl>
    <w:lvl w:ilvl="8" w:tplc="6A7A5242">
      <w:start w:val="1"/>
      <w:numFmt w:val="bullet"/>
      <w:lvlText w:val=""/>
      <w:lvlJc w:val="left"/>
      <w:pPr>
        <w:ind w:left="6480" w:hanging="360"/>
      </w:pPr>
      <w:rPr>
        <w:rFonts w:ascii="Wingdings" w:hAnsi="Wingdings" w:hint="default"/>
      </w:rPr>
    </w:lvl>
  </w:abstractNum>
  <w:abstractNum w:abstractNumId="5" w15:restartNumberingAfterBreak="0">
    <w:nsid w:val="2913095B"/>
    <w:multiLevelType w:val="hybridMultilevel"/>
    <w:tmpl w:val="3DDC6E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F837DEB"/>
    <w:multiLevelType w:val="hybridMultilevel"/>
    <w:tmpl w:val="9DB828F4"/>
    <w:lvl w:ilvl="0" w:tplc="9526685A">
      <w:start w:val="1"/>
      <w:numFmt w:val="bullet"/>
      <w:lvlText w:val=""/>
      <w:lvlJc w:val="left"/>
      <w:pPr>
        <w:ind w:left="720" w:hanging="360"/>
      </w:pPr>
      <w:rPr>
        <w:rFonts w:ascii="Arial,Sans-Serif" w:hAnsi="Arial,Sans-Serif" w:hint="default"/>
      </w:rPr>
    </w:lvl>
    <w:lvl w:ilvl="1" w:tplc="A4AC0858">
      <w:start w:val="1"/>
      <w:numFmt w:val="bullet"/>
      <w:lvlText w:val="o"/>
      <w:lvlJc w:val="left"/>
      <w:pPr>
        <w:ind w:left="1440" w:hanging="360"/>
      </w:pPr>
      <w:rPr>
        <w:rFonts w:ascii="Courier New" w:hAnsi="Courier New" w:hint="default"/>
      </w:rPr>
    </w:lvl>
    <w:lvl w:ilvl="2" w:tplc="54827386">
      <w:start w:val="1"/>
      <w:numFmt w:val="bullet"/>
      <w:lvlText w:val=""/>
      <w:lvlJc w:val="left"/>
      <w:pPr>
        <w:ind w:left="2160" w:hanging="360"/>
      </w:pPr>
      <w:rPr>
        <w:rFonts w:ascii="Wingdings" w:hAnsi="Wingdings" w:hint="default"/>
      </w:rPr>
    </w:lvl>
    <w:lvl w:ilvl="3" w:tplc="712E5CFA">
      <w:start w:val="1"/>
      <w:numFmt w:val="bullet"/>
      <w:lvlText w:val=""/>
      <w:lvlJc w:val="left"/>
      <w:pPr>
        <w:ind w:left="2880" w:hanging="360"/>
      </w:pPr>
      <w:rPr>
        <w:rFonts w:ascii="Symbol" w:hAnsi="Symbol" w:hint="default"/>
      </w:rPr>
    </w:lvl>
    <w:lvl w:ilvl="4" w:tplc="7BBC40B8">
      <w:start w:val="1"/>
      <w:numFmt w:val="bullet"/>
      <w:lvlText w:val="o"/>
      <w:lvlJc w:val="left"/>
      <w:pPr>
        <w:ind w:left="3600" w:hanging="360"/>
      </w:pPr>
      <w:rPr>
        <w:rFonts w:ascii="Courier New" w:hAnsi="Courier New" w:hint="default"/>
      </w:rPr>
    </w:lvl>
    <w:lvl w:ilvl="5" w:tplc="4EB8709C">
      <w:start w:val="1"/>
      <w:numFmt w:val="bullet"/>
      <w:lvlText w:val=""/>
      <w:lvlJc w:val="left"/>
      <w:pPr>
        <w:ind w:left="4320" w:hanging="360"/>
      </w:pPr>
      <w:rPr>
        <w:rFonts w:ascii="Wingdings" w:hAnsi="Wingdings" w:hint="default"/>
      </w:rPr>
    </w:lvl>
    <w:lvl w:ilvl="6" w:tplc="B30EC72E">
      <w:start w:val="1"/>
      <w:numFmt w:val="bullet"/>
      <w:lvlText w:val=""/>
      <w:lvlJc w:val="left"/>
      <w:pPr>
        <w:ind w:left="5040" w:hanging="360"/>
      </w:pPr>
      <w:rPr>
        <w:rFonts w:ascii="Symbol" w:hAnsi="Symbol" w:hint="default"/>
      </w:rPr>
    </w:lvl>
    <w:lvl w:ilvl="7" w:tplc="B48293B2">
      <w:start w:val="1"/>
      <w:numFmt w:val="bullet"/>
      <w:lvlText w:val="o"/>
      <w:lvlJc w:val="left"/>
      <w:pPr>
        <w:ind w:left="5760" w:hanging="360"/>
      </w:pPr>
      <w:rPr>
        <w:rFonts w:ascii="Courier New" w:hAnsi="Courier New" w:hint="default"/>
      </w:rPr>
    </w:lvl>
    <w:lvl w:ilvl="8" w:tplc="889E8CAE">
      <w:start w:val="1"/>
      <w:numFmt w:val="bullet"/>
      <w:lvlText w:val=""/>
      <w:lvlJc w:val="left"/>
      <w:pPr>
        <w:ind w:left="6480" w:hanging="360"/>
      </w:pPr>
      <w:rPr>
        <w:rFonts w:ascii="Wingdings" w:hAnsi="Wingdings" w:hint="default"/>
      </w:rPr>
    </w:lvl>
  </w:abstractNum>
  <w:abstractNum w:abstractNumId="7" w15:restartNumberingAfterBreak="0">
    <w:nsid w:val="31526264"/>
    <w:multiLevelType w:val="multilevel"/>
    <w:tmpl w:val="F06E6CC8"/>
    <w:lvl w:ilvl="0">
      <w:start w:val="1"/>
      <w:numFmt w:val="decimal"/>
      <w:lvlText w:val="%1."/>
      <w:lvlJc w:val="left"/>
      <w:pPr>
        <w:ind w:left="187" w:hanging="187"/>
      </w:pPr>
      <w:rPr>
        <w:rFonts w:hint="default"/>
      </w:rPr>
    </w:lvl>
    <w:lvl w:ilvl="1">
      <w:start w:val="1"/>
      <w:numFmt w:val="bullet"/>
      <w:lvlText w:val="–"/>
      <w:lvlJc w:val="left"/>
      <w:pPr>
        <w:ind w:left="374" w:hanging="187"/>
      </w:pPr>
      <w:rPr>
        <w:rFonts w:ascii="Arial" w:hAnsi="Arial" w:hint="default"/>
      </w:rPr>
    </w:lvl>
    <w:lvl w:ilvl="2">
      <w:start w:val="1"/>
      <w:numFmt w:val="bullet"/>
      <w:lvlText w:val="•"/>
      <w:lvlJc w:val="left"/>
      <w:pPr>
        <w:ind w:left="561" w:hanging="187"/>
      </w:pPr>
      <w:rPr>
        <w:rFonts w:ascii="Arial" w:hAnsi="Arial" w:hint="default"/>
      </w:rPr>
    </w:lvl>
    <w:lvl w:ilvl="3">
      <w:start w:val="1"/>
      <w:numFmt w:val="bullet"/>
      <w:lvlText w:val="–"/>
      <w:lvlJc w:val="left"/>
      <w:pPr>
        <w:ind w:left="748" w:hanging="187"/>
      </w:pPr>
      <w:rPr>
        <w:rFonts w:ascii="Arial" w:hAnsi="Arial" w:hint="default"/>
      </w:rPr>
    </w:lvl>
    <w:lvl w:ilvl="4">
      <w:start w:val="1"/>
      <w:numFmt w:val="bullet"/>
      <w:lvlText w:val="•"/>
      <w:lvlJc w:val="left"/>
      <w:pPr>
        <w:ind w:left="935" w:hanging="187"/>
      </w:pPr>
      <w:rPr>
        <w:rFonts w:ascii="Arial" w:hAnsi="Arial" w:hint="default"/>
      </w:rPr>
    </w:lvl>
    <w:lvl w:ilvl="5">
      <w:start w:val="1"/>
      <w:numFmt w:val="bullet"/>
      <w:lvlText w:val="–"/>
      <w:lvlJc w:val="left"/>
      <w:pPr>
        <w:ind w:left="1122" w:hanging="187"/>
      </w:pPr>
      <w:rPr>
        <w:rFonts w:ascii="Arial" w:hAnsi="Arial" w:hint="default"/>
      </w:rPr>
    </w:lvl>
    <w:lvl w:ilvl="6">
      <w:start w:val="1"/>
      <w:numFmt w:val="bullet"/>
      <w:lvlText w:val="•"/>
      <w:lvlJc w:val="left"/>
      <w:pPr>
        <w:ind w:left="1309" w:hanging="187"/>
      </w:pPr>
      <w:rPr>
        <w:rFonts w:ascii="Arial" w:hAnsi="Arial" w:hint="default"/>
      </w:rPr>
    </w:lvl>
    <w:lvl w:ilvl="7">
      <w:start w:val="1"/>
      <w:numFmt w:val="bullet"/>
      <w:lvlText w:val="–"/>
      <w:lvlJc w:val="left"/>
      <w:pPr>
        <w:ind w:left="1496" w:hanging="187"/>
      </w:pPr>
      <w:rPr>
        <w:rFonts w:ascii="Arial" w:hAnsi="Arial" w:hint="default"/>
      </w:rPr>
    </w:lvl>
    <w:lvl w:ilvl="8">
      <w:start w:val="1"/>
      <w:numFmt w:val="bullet"/>
      <w:lvlText w:val="•"/>
      <w:lvlJc w:val="left"/>
      <w:pPr>
        <w:ind w:left="1683" w:hanging="187"/>
      </w:pPr>
      <w:rPr>
        <w:rFonts w:ascii="Arial" w:hAnsi="Arial" w:hint="default"/>
      </w:rPr>
    </w:lvl>
  </w:abstractNum>
  <w:abstractNum w:abstractNumId="8" w15:restartNumberingAfterBreak="0">
    <w:nsid w:val="33806610"/>
    <w:multiLevelType w:val="hybridMultilevel"/>
    <w:tmpl w:val="29922AE2"/>
    <w:lvl w:ilvl="0" w:tplc="927285AA">
      <w:start w:val="1"/>
      <w:numFmt w:val="decimal"/>
      <w:pStyle w:val="FootnoteText"/>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74FA0C7"/>
    <w:multiLevelType w:val="hybridMultilevel"/>
    <w:tmpl w:val="2A7896D2"/>
    <w:lvl w:ilvl="0" w:tplc="733EB666">
      <w:start w:val="1"/>
      <w:numFmt w:val="bullet"/>
      <w:lvlText w:val=""/>
      <w:lvlJc w:val="left"/>
      <w:pPr>
        <w:ind w:left="720" w:hanging="360"/>
      </w:pPr>
      <w:rPr>
        <w:rFonts w:ascii="Arial,Sans-Serif" w:hAnsi="Arial,Sans-Serif" w:hint="default"/>
      </w:rPr>
    </w:lvl>
    <w:lvl w:ilvl="1" w:tplc="F8C68CE0">
      <w:start w:val="1"/>
      <w:numFmt w:val="bullet"/>
      <w:lvlText w:val="o"/>
      <w:lvlJc w:val="left"/>
      <w:pPr>
        <w:ind w:left="1440" w:hanging="360"/>
      </w:pPr>
      <w:rPr>
        <w:rFonts w:ascii="Courier New" w:hAnsi="Courier New" w:hint="default"/>
      </w:rPr>
    </w:lvl>
    <w:lvl w:ilvl="2" w:tplc="11C041BE">
      <w:start w:val="1"/>
      <w:numFmt w:val="bullet"/>
      <w:lvlText w:val=""/>
      <w:lvlJc w:val="left"/>
      <w:pPr>
        <w:ind w:left="2160" w:hanging="360"/>
      </w:pPr>
      <w:rPr>
        <w:rFonts w:ascii="Wingdings" w:hAnsi="Wingdings" w:hint="default"/>
      </w:rPr>
    </w:lvl>
    <w:lvl w:ilvl="3" w:tplc="A2BC7758">
      <w:start w:val="1"/>
      <w:numFmt w:val="bullet"/>
      <w:lvlText w:val=""/>
      <w:lvlJc w:val="left"/>
      <w:pPr>
        <w:ind w:left="2880" w:hanging="360"/>
      </w:pPr>
      <w:rPr>
        <w:rFonts w:ascii="Symbol" w:hAnsi="Symbol" w:hint="default"/>
      </w:rPr>
    </w:lvl>
    <w:lvl w:ilvl="4" w:tplc="F97E1BE0">
      <w:start w:val="1"/>
      <w:numFmt w:val="bullet"/>
      <w:lvlText w:val="o"/>
      <w:lvlJc w:val="left"/>
      <w:pPr>
        <w:ind w:left="3600" w:hanging="360"/>
      </w:pPr>
      <w:rPr>
        <w:rFonts w:ascii="Courier New" w:hAnsi="Courier New" w:hint="default"/>
      </w:rPr>
    </w:lvl>
    <w:lvl w:ilvl="5" w:tplc="C30A08D6">
      <w:start w:val="1"/>
      <w:numFmt w:val="bullet"/>
      <w:lvlText w:val=""/>
      <w:lvlJc w:val="left"/>
      <w:pPr>
        <w:ind w:left="4320" w:hanging="360"/>
      </w:pPr>
      <w:rPr>
        <w:rFonts w:ascii="Wingdings" w:hAnsi="Wingdings" w:hint="default"/>
      </w:rPr>
    </w:lvl>
    <w:lvl w:ilvl="6" w:tplc="428C6E94">
      <w:start w:val="1"/>
      <w:numFmt w:val="bullet"/>
      <w:lvlText w:val=""/>
      <w:lvlJc w:val="left"/>
      <w:pPr>
        <w:ind w:left="5040" w:hanging="360"/>
      </w:pPr>
      <w:rPr>
        <w:rFonts w:ascii="Symbol" w:hAnsi="Symbol" w:hint="default"/>
      </w:rPr>
    </w:lvl>
    <w:lvl w:ilvl="7" w:tplc="BE463EFC">
      <w:start w:val="1"/>
      <w:numFmt w:val="bullet"/>
      <w:lvlText w:val="o"/>
      <w:lvlJc w:val="left"/>
      <w:pPr>
        <w:ind w:left="5760" w:hanging="360"/>
      </w:pPr>
      <w:rPr>
        <w:rFonts w:ascii="Courier New" w:hAnsi="Courier New" w:hint="default"/>
      </w:rPr>
    </w:lvl>
    <w:lvl w:ilvl="8" w:tplc="D57C6DBA">
      <w:start w:val="1"/>
      <w:numFmt w:val="bullet"/>
      <w:lvlText w:val=""/>
      <w:lvlJc w:val="left"/>
      <w:pPr>
        <w:ind w:left="6480" w:hanging="360"/>
      </w:pPr>
      <w:rPr>
        <w:rFonts w:ascii="Wingdings" w:hAnsi="Wingdings" w:hint="default"/>
      </w:rPr>
    </w:lvl>
  </w:abstractNum>
  <w:abstractNum w:abstractNumId="10" w15:restartNumberingAfterBreak="0">
    <w:nsid w:val="4A8CD18C"/>
    <w:multiLevelType w:val="hybridMultilevel"/>
    <w:tmpl w:val="758C13D8"/>
    <w:lvl w:ilvl="0" w:tplc="B0506A96">
      <w:start w:val="1"/>
      <w:numFmt w:val="bullet"/>
      <w:lvlText w:val=""/>
      <w:lvlJc w:val="left"/>
      <w:pPr>
        <w:ind w:left="720" w:hanging="360"/>
      </w:pPr>
      <w:rPr>
        <w:rFonts w:ascii="Symbol" w:hAnsi="Symbol" w:hint="default"/>
      </w:rPr>
    </w:lvl>
    <w:lvl w:ilvl="1" w:tplc="7A744614">
      <w:start w:val="1"/>
      <w:numFmt w:val="bullet"/>
      <w:lvlText w:val="o"/>
      <w:lvlJc w:val="left"/>
      <w:pPr>
        <w:ind w:left="1440" w:hanging="360"/>
      </w:pPr>
      <w:rPr>
        <w:rFonts w:ascii="Courier New" w:hAnsi="Courier New" w:hint="default"/>
      </w:rPr>
    </w:lvl>
    <w:lvl w:ilvl="2" w:tplc="DA5EE206">
      <w:start w:val="1"/>
      <w:numFmt w:val="bullet"/>
      <w:lvlText w:val=""/>
      <w:lvlJc w:val="left"/>
      <w:pPr>
        <w:ind w:left="2160" w:hanging="360"/>
      </w:pPr>
      <w:rPr>
        <w:rFonts w:ascii="Wingdings" w:hAnsi="Wingdings" w:hint="default"/>
      </w:rPr>
    </w:lvl>
    <w:lvl w:ilvl="3" w:tplc="81F2A1CC">
      <w:start w:val="1"/>
      <w:numFmt w:val="bullet"/>
      <w:lvlText w:val=""/>
      <w:lvlJc w:val="left"/>
      <w:pPr>
        <w:ind w:left="2880" w:hanging="360"/>
      </w:pPr>
      <w:rPr>
        <w:rFonts w:ascii="Symbol" w:hAnsi="Symbol" w:hint="default"/>
      </w:rPr>
    </w:lvl>
    <w:lvl w:ilvl="4" w:tplc="8B800E24">
      <w:start w:val="1"/>
      <w:numFmt w:val="bullet"/>
      <w:lvlText w:val="o"/>
      <w:lvlJc w:val="left"/>
      <w:pPr>
        <w:ind w:left="3600" w:hanging="360"/>
      </w:pPr>
      <w:rPr>
        <w:rFonts w:ascii="Courier New" w:hAnsi="Courier New" w:hint="default"/>
      </w:rPr>
    </w:lvl>
    <w:lvl w:ilvl="5" w:tplc="C46E6382">
      <w:start w:val="1"/>
      <w:numFmt w:val="bullet"/>
      <w:lvlText w:val=""/>
      <w:lvlJc w:val="left"/>
      <w:pPr>
        <w:ind w:left="4320" w:hanging="360"/>
      </w:pPr>
      <w:rPr>
        <w:rFonts w:ascii="Wingdings" w:hAnsi="Wingdings" w:hint="default"/>
      </w:rPr>
    </w:lvl>
    <w:lvl w:ilvl="6" w:tplc="F9E6A6AE">
      <w:start w:val="1"/>
      <w:numFmt w:val="bullet"/>
      <w:lvlText w:val=""/>
      <w:lvlJc w:val="left"/>
      <w:pPr>
        <w:ind w:left="5040" w:hanging="360"/>
      </w:pPr>
      <w:rPr>
        <w:rFonts w:ascii="Symbol" w:hAnsi="Symbol" w:hint="default"/>
      </w:rPr>
    </w:lvl>
    <w:lvl w:ilvl="7" w:tplc="02C6CA20">
      <w:start w:val="1"/>
      <w:numFmt w:val="bullet"/>
      <w:lvlText w:val="o"/>
      <w:lvlJc w:val="left"/>
      <w:pPr>
        <w:ind w:left="5760" w:hanging="360"/>
      </w:pPr>
      <w:rPr>
        <w:rFonts w:ascii="Courier New" w:hAnsi="Courier New" w:hint="default"/>
      </w:rPr>
    </w:lvl>
    <w:lvl w:ilvl="8" w:tplc="B13AB09A">
      <w:start w:val="1"/>
      <w:numFmt w:val="bullet"/>
      <w:lvlText w:val=""/>
      <w:lvlJc w:val="left"/>
      <w:pPr>
        <w:ind w:left="6480" w:hanging="360"/>
      </w:pPr>
      <w:rPr>
        <w:rFonts w:ascii="Wingdings" w:hAnsi="Wingdings" w:hint="default"/>
      </w:rPr>
    </w:lvl>
  </w:abstractNum>
  <w:abstractNum w:abstractNumId="11" w15:restartNumberingAfterBreak="0">
    <w:nsid w:val="51DA51EB"/>
    <w:multiLevelType w:val="multilevel"/>
    <w:tmpl w:val="F06E6CC8"/>
    <w:lvl w:ilvl="0">
      <w:start w:val="1"/>
      <w:numFmt w:val="decimal"/>
      <w:lvlText w:val="%1."/>
      <w:lvlJc w:val="left"/>
      <w:pPr>
        <w:ind w:left="187" w:hanging="187"/>
      </w:pPr>
      <w:rPr>
        <w:rFonts w:hint="default"/>
      </w:rPr>
    </w:lvl>
    <w:lvl w:ilvl="1">
      <w:start w:val="1"/>
      <w:numFmt w:val="bullet"/>
      <w:lvlText w:val="–"/>
      <w:lvlJc w:val="left"/>
      <w:pPr>
        <w:ind w:left="374" w:hanging="187"/>
      </w:pPr>
      <w:rPr>
        <w:rFonts w:ascii="Arial" w:hAnsi="Arial" w:hint="default"/>
      </w:rPr>
    </w:lvl>
    <w:lvl w:ilvl="2">
      <w:start w:val="1"/>
      <w:numFmt w:val="bullet"/>
      <w:lvlText w:val="•"/>
      <w:lvlJc w:val="left"/>
      <w:pPr>
        <w:ind w:left="561" w:hanging="187"/>
      </w:pPr>
      <w:rPr>
        <w:rFonts w:ascii="Arial" w:hAnsi="Arial" w:hint="default"/>
      </w:rPr>
    </w:lvl>
    <w:lvl w:ilvl="3">
      <w:start w:val="1"/>
      <w:numFmt w:val="bullet"/>
      <w:lvlText w:val="–"/>
      <w:lvlJc w:val="left"/>
      <w:pPr>
        <w:ind w:left="748" w:hanging="187"/>
      </w:pPr>
      <w:rPr>
        <w:rFonts w:ascii="Arial" w:hAnsi="Arial" w:hint="default"/>
      </w:rPr>
    </w:lvl>
    <w:lvl w:ilvl="4">
      <w:start w:val="1"/>
      <w:numFmt w:val="bullet"/>
      <w:lvlText w:val="•"/>
      <w:lvlJc w:val="left"/>
      <w:pPr>
        <w:ind w:left="935" w:hanging="187"/>
      </w:pPr>
      <w:rPr>
        <w:rFonts w:ascii="Arial" w:hAnsi="Arial" w:hint="default"/>
      </w:rPr>
    </w:lvl>
    <w:lvl w:ilvl="5">
      <w:start w:val="1"/>
      <w:numFmt w:val="bullet"/>
      <w:lvlText w:val="–"/>
      <w:lvlJc w:val="left"/>
      <w:pPr>
        <w:ind w:left="1122" w:hanging="187"/>
      </w:pPr>
      <w:rPr>
        <w:rFonts w:ascii="Arial" w:hAnsi="Arial" w:hint="default"/>
      </w:rPr>
    </w:lvl>
    <w:lvl w:ilvl="6">
      <w:start w:val="1"/>
      <w:numFmt w:val="bullet"/>
      <w:lvlText w:val="•"/>
      <w:lvlJc w:val="left"/>
      <w:pPr>
        <w:ind w:left="1309" w:hanging="187"/>
      </w:pPr>
      <w:rPr>
        <w:rFonts w:ascii="Arial" w:hAnsi="Arial" w:hint="default"/>
      </w:rPr>
    </w:lvl>
    <w:lvl w:ilvl="7">
      <w:start w:val="1"/>
      <w:numFmt w:val="bullet"/>
      <w:lvlText w:val="–"/>
      <w:lvlJc w:val="left"/>
      <w:pPr>
        <w:ind w:left="1496" w:hanging="187"/>
      </w:pPr>
      <w:rPr>
        <w:rFonts w:ascii="Arial" w:hAnsi="Arial" w:hint="default"/>
      </w:rPr>
    </w:lvl>
    <w:lvl w:ilvl="8">
      <w:start w:val="1"/>
      <w:numFmt w:val="bullet"/>
      <w:lvlText w:val="•"/>
      <w:lvlJc w:val="left"/>
      <w:pPr>
        <w:ind w:left="1683" w:hanging="187"/>
      </w:pPr>
      <w:rPr>
        <w:rFonts w:ascii="Arial" w:hAnsi="Arial" w:hint="default"/>
      </w:rPr>
    </w:lvl>
  </w:abstractNum>
  <w:abstractNum w:abstractNumId="12" w15:restartNumberingAfterBreak="0">
    <w:nsid w:val="536D59AC"/>
    <w:multiLevelType w:val="hybridMultilevel"/>
    <w:tmpl w:val="8BCC812E"/>
    <w:lvl w:ilvl="0" w:tplc="6436C17C">
      <w:start w:val="1"/>
      <w:numFmt w:val="bullet"/>
      <w:lvlText w:val=""/>
      <w:lvlJc w:val="left"/>
      <w:pPr>
        <w:ind w:left="720" w:hanging="360"/>
      </w:pPr>
      <w:rPr>
        <w:rFonts w:ascii="Arial,Sans-Serif" w:hAnsi="Arial,Sans-Serif" w:hint="default"/>
      </w:rPr>
    </w:lvl>
    <w:lvl w:ilvl="1" w:tplc="320A26FA">
      <w:start w:val="1"/>
      <w:numFmt w:val="bullet"/>
      <w:lvlText w:val="o"/>
      <w:lvlJc w:val="left"/>
      <w:pPr>
        <w:ind w:left="1440" w:hanging="360"/>
      </w:pPr>
      <w:rPr>
        <w:rFonts w:ascii="Courier New" w:hAnsi="Courier New" w:hint="default"/>
      </w:rPr>
    </w:lvl>
    <w:lvl w:ilvl="2" w:tplc="A4D870F2">
      <w:start w:val="1"/>
      <w:numFmt w:val="bullet"/>
      <w:lvlText w:val=""/>
      <w:lvlJc w:val="left"/>
      <w:pPr>
        <w:ind w:left="2160" w:hanging="360"/>
      </w:pPr>
      <w:rPr>
        <w:rFonts w:ascii="Wingdings" w:hAnsi="Wingdings" w:hint="default"/>
      </w:rPr>
    </w:lvl>
    <w:lvl w:ilvl="3" w:tplc="7A184C3A">
      <w:start w:val="1"/>
      <w:numFmt w:val="bullet"/>
      <w:lvlText w:val=""/>
      <w:lvlJc w:val="left"/>
      <w:pPr>
        <w:ind w:left="2880" w:hanging="360"/>
      </w:pPr>
      <w:rPr>
        <w:rFonts w:ascii="Symbol" w:hAnsi="Symbol" w:hint="default"/>
      </w:rPr>
    </w:lvl>
    <w:lvl w:ilvl="4" w:tplc="B7ACBEAE">
      <w:start w:val="1"/>
      <w:numFmt w:val="bullet"/>
      <w:lvlText w:val="o"/>
      <w:lvlJc w:val="left"/>
      <w:pPr>
        <w:ind w:left="3600" w:hanging="360"/>
      </w:pPr>
      <w:rPr>
        <w:rFonts w:ascii="Courier New" w:hAnsi="Courier New" w:hint="default"/>
      </w:rPr>
    </w:lvl>
    <w:lvl w:ilvl="5" w:tplc="C8225378">
      <w:start w:val="1"/>
      <w:numFmt w:val="bullet"/>
      <w:lvlText w:val=""/>
      <w:lvlJc w:val="left"/>
      <w:pPr>
        <w:ind w:left="4320" w:hanging="360"/>
      </w:pPr>
      <w:rPr>
        <w:rFonts w:ascii="Wingdings" w:hAnsi="Wingdings" w:hint="default"/>
      </w:rPr>
    </w:lvl>
    <w:lvl w:ilvl="6" w:tplc="A5A05F22">
      <w:start w:val="1"/>
      <w:numFmt w:val="bullet"/>
      <w:lvlText w:val=""/>
      <w:lvlJc w:val="left"/>
      <w:pPr>
        <w:ind w:left="5040" w:hanging="360"/>
      </w:pPr>
      <w:rPr>
        <w:rFonts w:ascii="Symbol" w:hAnsi="Symbol" w:hint="default"/>
      </w:rPr>
    </w:lvl>
    <w:lvl w:ilvl="7" w:tplc="256854D8">
      <w:start w:val="1"/>
      <w:numFmt w:val="bullet"/>
      <w:lvlText w:val="o"/>
      <w:lvlJc w:val="left"/>
      <w:pPr>
        <w:ind w:left="5760" w:hanging="360"/>
      </w:pPr>
      <w:rPr>
        <w:rFonts w:ascii="Courier New" w:hAnsi="Courier New" w:hint="default"/>
      </w:rPr>
    </w:lvl>
    <w:lvl w:ilvl="8" w:tplc="6770D046">
      <w:start w:val="1"/>
      <w:numFmt w:val="bullet"/>
      <w:lvlText w:val=""/>
      <w:lvlJc w:val="left"/>
      <w:pPr>
        <w:ind w:left="6480" w:hanging="360"/>
      </w:pPr>
      <w:rPr>
        <w:rFonts w:ascii="Wingdings" w:hAnsi="Wingdings" w:hint="default"/>
      </w:rPr>
    </w:lvl>
  </w:abstractNum>
  <w:abstractNum w:abstractNumId="13" w15:restartNumberingAfterBreak="0">
    <w:nsid w:val="56C79680"/>
    <w:multiLevelType w:val="hybridMultilevel"/>
    <w:tmpl w:val="C7361E1A"/>
    <w:lvl w:ilvl="0" w:tplc="4CCA778A">
      <w:start w:val="1"/>
      <w:numFmt w:val="bullet"/>
      <w:lvlText w:val=""/>
      <w:lvlJc w:val="left"/>
      <w:pPr>
        <w:ind w:left="720" w:hanging="360"/>
      </w:pPr>
      <w:rPr>
        <w:rFonts w:ascii="Arial,Sans-Serif" w:hAnsi="Arial,Sans-Serif" w:hint="default"/>
      </w:rPr>
    </w:lvl>
    <w:lvl w:ilvl="1" w:tplc="805CE470">
      <w:start w:val="1"/>
      <w:numFmt w:val="bullet"/>
      <w:lvlText w:val="o"/>
      <w:lvlJc w:val="left"/>
      <w:pPr>
        <w:ind w:left="1440" w:hanging="360"/>
      </w:pPr>
      <w:rPr>
        <w:rFonts w:ascii="Courier New" w:hAnsi="Courier New" w:hint="default"/>
      </w:rPr>
    </w:lvl>
    <w:lvl w:ilvl="2" w:tplc="3DBA53D2">
      <w:start w:val="1"/>
      <w:numFmt w:val="bullet"/>
      <w:lvlText w:val=""/>
      <w:lvlJc w:val="left"/>
      <w:pPr>
        <w:ind w:left="2160" w:hanging="360"/>
      </w:pPr>
      <w:rPr>
        <w:rFonts w:ascii="Wingdings" w:hAnsi="Wingdings" w:hint="default"/>
      </w:rPr>
    </w:lvl>
    <w:lvl w:ilvl="3" w:tplc="28DE4CD4">
      <w:start w:val="1"/>
      <w:numFmt w:val="bullet"/>
      <w:lvlText w:val=""/>
      <w:lvlJc w:val="left"/>
      <w:pPr>
        <w:ind w:left="2880" w:hanging="360"/>
      </w:pPr>
      <w:rPr>
        <w:rFonts w:ascii="Symbol" w:hAnsi="Symbol" w:hint="default"/>
      </w:rPr>
    </w:lvl>
    <w:lvl w:ilvl="4" w:tplc="D55CD958">
      <w:start w:val="1"/>
      <w:numFmt w:val="bullet"/>
      <w:lvlText w:val="o"/>
      <w:lvlJc w:val="left"/>
      <w:pPr>
        <w:ind w:left="3600" w:hanging="360"/>
      </w:pPr>
      <w:rPr>
        <w:rFonts w:ascii="Courier New" w:hAnsi="Courier New" w:hint="default"/>
      </w:rPr>
    </w:lvl>
    <w:lvl w:ilvl="5" w:tplc="C27C95A0">
      <w:start w:val="1"/>
      <w:numFmt w:val="bullet"/>
      <w:lvlText w:val=""/>
      <w:lvlJc w:val="left"/>
      <w:pPr>
        <w:ind w:left="4320" w:hanging="360"/>
      </w:pPr>
      <w:rPr>
        <w:rFonts w:ascii="Wingdings" w:hAnsi="Wingdings" w:hint="default"/>
      </w:rPr>
    </w:lvl>
    <w:lvl w:ilvl="6" w:tplc="8ADA6A00">
      <w:start w:val="1"/>
      <w:numFmt w:val="bullet"/>
      <w:lvlText w:val=""/>
      <w:lvlJc w:val="left"/>
      <w:pPr>
        <w:ind w:left="5040" w:hanging="360"/>
      </w:pPr>
      <w:rPr>
        <w:rFonts w:ascii="Symbol" w:hAnsi="Symbol" w:hint="default"/>
      </w:rPr>
    </w:lvl>
    <w:lvl w:ilvl="7" w:tplc="DD62824C">
      <w:start w:val="1"/>
      <w:numFmt w:val="bullet"/>
      <w:lvlText w:val="o"/>
      <w:lvlJc w:val="left"/>
      <w:pPr>
        <w:ind w:left="5760" w:hanging="360"/>
      </w:pPr>
      <w:rPr>
        <w:rFonts w:ascii="Courier New" w:hAnsi="Courier New" w:hint="default"/>
      </w:rPr>
    </w:lvl>
    <w:lvl w:ilvl="8" w:tplc="2C866A7A">
      <w:start w:val="1"/>
      <w:numFmt w:val="bullet"/>
      <w:lvlText w:val=""/>
      <w:lvlJc w:val="left"/>
      <w:pPr>
        <w:ind w:left="6480" w:hanging="360"/>
      </w:pPr>
      <w:rPr>
        <w:rFonts w:ascii="Wingdings" w:hAnsi="Wingdings" w:hint="default"/>
      </w:rPr>
    </w:lvl>
  </w:abstractNum>
  <w:abstractNum w:abstractNumId="14" w15:restartNumberingAfterBreak="0">
    <w:nsid w:val="5C7249C9"/>
    <w:multiLevelType w:val="hybridMultilevel"/>
    <w:tmpl w:val="E5F0BD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D0E33B0"/>
    <w:multiLevelType w:val="multilevel"/>
    <w:tmpl w:val="59C422A8"/>
    <w:lvl w:ilvl="0">
      <w:start w:val="1"/>
      <w:numFmt w:val="decimal"/>
      <w:pStyle w:val="ABSectionNumbers"/>
      <w:lvlText w:val="%1."/>
      <w:lvlJc w:val="left"/>
      <w:pPr>
        <w:ind w:left="3067" w:hanging="360"/>
      </w:pPr>
      <w:rPr>
        <w:rFonts w:asciiTheme="minorHAnsi" w:hAnsiTheme="minorHAnsi" w:hint="default"/>
        <w:color w:val="CE0E2D" w:themeColor="accent6"/>
      </w:rPr>
    </w:lvl>
    <w:lvl w:ilvl="1">
      <w:start w:val="1"/>
      <w:numFmt w:val="lowerLetter"/>
      <w:lvlText w:val="%2."/>
      <w:lvlJc w:val="left"/>
      <w:pPr>
        <w:ind w:left="3427" w:hanging="360"/>
      </w:pPr>
      <w:rPr>
        <w:rFonts w:hint="default"/>
        <w:color w:val="CE0E2D" w:themeColor="accent6"/>
      </w:rPr>
    </w:lvl>
    <w:lvl w:ilvl="2">
      <w:start w:val="1"/>
      <w:numFmt w:val="lowerRoman"/>
      <w:lvlText w:val="%3."/>
      <w:lvlJc w:val="left"/>
      <w:pPr>
        <w:ind w:left="3787" w:hanging="360"/>
      </w:pPr>
      <w:rPr>
        <w:rFonts w:hint="default"/>
        <w:color w:val="CE0E2D" w:themeColor="accent6"/>
      </w:rPr>
    </w:lvl>
    <w:lvl w:ilvl="3">
      <w:start w:val="1"/>
      <w:numFmt w:val="upperLetter"/>
      <w:lvlText w:val="%4."/>
      <w:lvlJc w:val="left"/>
      <w:pPr>
        <w:ind w:left="4147" w:hanging="360"/>
      </w:pPr>
      <w:rPr>
        <w:rFonts w:hint="default"/>
        <w:color w:val="CE0E2D" w:themeColor="accent6"/>
      </w:rPr>
    </w:lvl>
    <w:lvl w:ilvl="4">
      <w:start w:val="1"/>
      <w:numFmt w:val="lowerLetter"/>
      <w:lvlText w:val="%5."/>
      <w:lvlJc w:val="left"/>
      <w:pPr>
        <w:ind w:left="4507" w:hanging="360"/>
      </w:pPr>
      <w:rPr>
        <w:rFonts w:hint="default"/>
        <w:color w:val="CE0E2D" w:themeColor="accent6"/>
      </w:rPr>
    </w:lvl>
    <w:lvl w:ilvl="5">
      <w:start w:val="1"/>
      <w:numFmt w:val="lowerRoman"/>
      <w:lvlText w:val="%6."/>
      <w:lvlJc w:val="right"/>
      <w:pPr>
        <w:ind w:left="4867" w:hanging="360"/>
      </w:pPr>
      <w:rPr>
        <w:rFonts w:hint="default"/>
        <w:color w:val="CE0E2D" w:themeColor="accent6"/>
      </w:rPr>
    </w:lvl>
    <w:lvl w:ilvl="6">
      <w:start w:val="1"/>
      <w:numFmt w:val="decimal"/>
      <w:lvlText w:val="%7."/>
      <w:lvlJc w:val="left"/>
      <w:pPr>
        <w:ind w:left="5227" w:hanging="360"/>
      </w:pPr>
      <w:rPr>
        <w:rFonts w:hint="default"/>
        <w:color w:val="CE0E2D" w:themeColor="accent6"/>
      </w:rPr>
    </w:lvl>
    <w:lvl w:ilvl="7">
      <w:start w:val="1"/>
      <w:numFmt w:val="lowerLetter"/>
      <w:lvlText w:val="%8."/>
      <w:lvlJc w:val="left"/>
      <w:pPr>
        <w:ind w:left="5587" w:hanging="360"/>
      </w:pPr>
      <w:rPr>
        <w:rFonts w:hint="default"/>
        <w:color w:val="CE0E2D" w:themeColor="accent6"/>
      </w:rPr>
    </w:lvl>
    <w:lvl w:ilvl="8">
      <w:start w:val="1"/>
      <w:numFmt w:val="lowerRoman"/>
      <w:lvlText w:val="%9."/>
      <w:lvlJc w:val="right"/>
      <w:pPr>
        <w:ind w:left="5947" w:hanging="360"/>
      </w:pPr>
      <w:rPr>
        <w:rFonts w:hint="default"/>
        <w:color w:val="CE0E2D" w:themeColor="accent6"/>
      </w:rPr>
    </w:lvl>
  </w:abstractNum>
  <w:abstractNum w:abstractNumId="16" w15:restartNumberingAfterBreak="0">
    <w:nsid w:val="637A411E"/>
    <w:multiLevelType w:val="hybridMultilevel"/>
    <w:tmpl w:val="9D44BB7E"/>
    <w:lvl w:ilvl="0" w:tplc="8766E2AE">
      <w:start w:val="1"/>
      <w:numFmt w:val="bullet"/>
      <w:lvlText w:val=""/>
      <w:lvlJc w:val="left"/>
      <w:pPr>
        <w:ind w:left="720" w:hanging="360"/>
      </w:pPr>
      <w:rPr>
        <w:rFonts w:ascii="Arial,Sans-Serif" w:hAnsi="Arial,Sans-Serif" w:hint="default"/>
      </w:rPr>
    </w:lvl>
    <w:lvl w:ilvl="1" w:tplc="C4EE5116">
      <w:start w:val="1"/>
      <w:numFmt w:val="bullet"/>
      <w:lvlText w:val="o"/>
      <w:lvlJc w:val="left"/>
      <w:pPr>
        <w:ind w:left="1440" w:hanging="360"/>
      </w:pPr>
      <w:rPr>
        <w:rFonts w:ascii="Courier New" w:hAnsi="Courier New" w:hint="default"/>
      </w:rPr>
    </w:lvl>
    <w:lvl w:ilvl="2" w:tplc="240AE758">
      <w:start w:val="1"/>
      <w:numFmt w:val="bullet"/>
      <w:lvlText w:val=""/>
      <w:lvlJc w:val="left"/>
      <w:pPr>
        <w:ind w:left="2160" w:hanging="360"/>
      </w:pPr>
      <w:rPr>
        <w:rFonts w:ascii="Wingdings" w:hAnsi="Wingdings" w:hint="default"/>
      </w:rPr>
    </w:lvl>
    <w:lvl w:ilvl="3" w:tplc="D76E1F00">
      <w:start w:val="1"/>
      <w:numFmt w:val="bullet"/>
      <w:lvlText w:val=""/>
      <w:lvlJc w:val="left"/>
      <w:pPr>
        <w:ind w:left="2880" w:hanging="360"/>
      </w:pPr>
      <w:rPr>
        <w:rFonts w:ascii="Symbol" w:hAnsi="Symbol" w:hint="default"/>
      </w:rPr>
    </w:lvl>
    <w:lvl w:ilvl="4" w:tplc="B0EC0000">
      <w:start w:val="1"/>
      <w:numFmt w:val="bullet"/>
      <w:lvlText w:val="o"/>
      <w:lvlJc w:val="left"/>
      <w:pPr>
        <w:ind w:left="3600" w:hanging="360"/>
      </w:pPr>
      <w:rPr>
        <w:rFonts w:ascii="Courier New" w:hAnsi="Courier New" w:hint="default"/>
      </w:rPr>
    </w:lvl>
    <w:lvl w:ilvl="5" w:tplc="62D62DA2">
      <w:start w:val="1"/>
      <w:numFmt w:val="bullet"/>
      <w:lvlText w:val=""/>
      <w:lvlJc w:val="left"/>
      <w:pPr>
        <w:ind w:left="4320" w:hanging="360"/>
      </w:pPr>
      <w:rPr>
        <w:rFonts w:ascii="Wingdings" w:hAnsi="Wingdings" w:hint="default"/>
      </w:rPr>
    </w:lvl>
    <w:lvl w:ilvl="6" w:tplc="04A8DF9C">
      <w:start w:val="1"/>
      <w:numFmt w:val="bullet"/>
      <w:lvlText w:val=""/>
      <w:lvlJc w:val="left"/>
      <w:pPr>
        <w:ind w:left="5040" w:hanging="360"/>
      </w:pPr>
      <w:rPr>
        <w:rFonts w:ascii="Symbol" w:hAnsi="Symbol" w:hint="default"/>
      </w:rPr>
    </w:lvl>
    <w:lvl w:ilvl="7" w:tplc="E0827FEC">
      <w:start w:val="1"/>
      <w:numFmt w:val="bullet"/>
      <w:lvlText w:val="o"/>
      <w:lvlJc w:val="left"/>
      <w:pPr>
        <w:ind w:left="5760" w:hanging="360"/>
      </w:pPr>
      <w:rPr>
        <w:rFonts w:ascii="Courier New" w:hAnsi="Courier New" w:hint="default"/>
      </w:rPr>
    </w:lvl>
    <w:lvl w:ilvl="8" w:tplc="1AD00766">
      <w:start w:val="1"/>
      <w:numFmt w:val="bullet"/>
      <w:lvlText w:val=""/>
      <w:lvlJc w:val="left"/>
      <w:pPr>
        <w:ind w:left="6480" w:hanging="360"/>
      </w:pPr>
      <w:rPr>
        <w:rFonts w:ascii="Wingdings" w:hAnsi="Wingdings" w:hint="default"/>
      </w:rPr>
    </w:lvl>
  </w:abstractNum>
  <w:abstractNum w:abstractNumId="17" w15:restartNumberingAfterBreak="0">
    <w:nsid w:val="70791F37"/>
    <w:multiLevelType w:val="hybridMultilevel"/>
    <w:tmpl w:val="6C80F4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2B25479"/>
    <w:multiLevelType w:val="multilevel"/>
    <w:tmpl w:val="2F6495EE"/>
    <w:lvl w:ilvl="0">
      <w:start w:val="1"/>
      <w:numFmt w:val="bullet"/>
      <w:pStyle w:val="ABGraphicTableBullets"/>
      <w:lvlText w:val="•"/>
      <w:lvlJc w:val="left"/>
      <w:pPr>
        <w:ind w:left="187" w:hanging="187"/>
      </w:pPr>
      <w:rPr>
        <w:rFonts w:ascii="Arial" w:hAnsi="Arial" w:hint="default"/>
      </w:rPr>
    </w:lvl>
    <w:lvl w:ilvl="1">
      <w:start w:val="1"/>
      <w:numFmt w:val="bullet"/>
      <w:lvlText w:val="–"/>
      <w:lvlJc w:val="left"/>
      <w:pPr>
        <w:ind w:left="374" w:hanging="187"/>
      </w:pPr>
      <w:rPr>
        <w:rFonts w:ascii="Arial" w:hAnsi="Arial" w:hint="default"/>
      </w:rPr>
    </w:lvl>
    <w:lvl w:ilvl="2">
      <w:start w:val="1"/>
      <w:numFmt w:val="bullet"/>
      <w:lvlText w:val="•"/>
      <w:lvlJc w:val="left"/>
      <w:pPr>
        <w:ind w:left="561" w:hanging="187"/>
      </w:pPr>
      <w:rPr>
        <w:rFonts w:ascii="Arial" w:hAnsi="Arial" w:hint="default"/>
      </w:rPr>
    </w:lvl>
    <w:lvl w:ilvl="3">
      <w:start w:val="1"/>
      <w:numFmt w:val="bullet"/>
      <w:lvlText w:val="–"/>
      <w:lvlJc w:val="left"/>
      <w:pPr>
        <w:ind w:left="748" w:hanging="187"/>
      </w:pPr>
      <w:rPr>
        <w:rFonts w:ascii="Arial" w:hAnsi="Arial" w:hint="default"/>
      </w:rPr>
    </w:lvl>
    <w:lvl w:ilvl="4">
      <w:start w:val="1"/>
      <w:numFmt w:val="bullet"/>
      <w:lvlText w:val="•"/>
      <w:lvlJc w:val="left"/>
      <w:pPr>
        <w:ind w:left="935" w:hanging="187"/>
      </w:pPr>
      <w:rPr>
        <w:rFonts w:ascii="Arial" w:hAnsi="Arial" w:hint="default"/>
      </w:rPr>
    </w:lvl>
    <w:lvl w:ilvl="5">
      <w:start w:val="1"/>
      <w:numFmt w:val="bullet"/>
      <w:lvlText w:val="–"/>
      <w:lvlJc w:val="left"/>
      <w:pPr>
        <w:ind w:left="1122" w:hanging="187"/>
      </w:pPr>
      <w:rPr>
        <w:rFonts w:ascii="Arial" w:hAnsi="Arial" w:hint="default"/>
      </w:rPr>
    </w:lvl>
    <w:lvl w:ilvl="6">
      <w:start w:val="1"/>
      <w:numFmt w:val="bullet"/>
      <w:lvlText w:val="•"/>
      <w:lvlJc w:val="left"/>
      <w:pPr>
        <w:ind w:left="1309" w:hanging="187"/>
      </w:pPr>
      <w:rPr>
        <w:rFonts w:ascii="Arial" w:hAnsi="Arial" w:hint="default"/>
      </w:rPr>
    </w:lvl>
    <w:lvl w:ilvl="7">
      <w:start w:val="1"/>
      <w:numFmt w:val="bullet"/>
      <w:lvlText w:val="–"/>
      <w:lvlJc w:val="left"/>
      <w:pPr>
        <w:ind w:left="1496" w:hanging="187"/>
      </w:pPr>
      <w:rPr>
        <w:rFonts w:ascii="Arial" w:hAnsi="Arial" w:hint="default"/>
      </w:rPr>
    </w:lvl>
    <w:lvl w:ilvl="8">
      <w:start w:val="1"/>
      <w:numFmt w:val="bullet"/>
      <w:lvlText w:val="•"/>
      <w:lvlJc w:val="left"/>
      <w:pPr>
        <w:ind w:left="1683" w:hanging="187"/>
      </w:pPr>
      <w:rPr>
        <w:rFonts w:ascii="Arial" w:hAnsi="Arial" w:hint="default"/>
      </w:rPr>
    </w:lvl>
  </w:abstractNum>
  <w:abstractNum w:abstractNumId="19" w15:restartNumberingAfterBreak="0">
    <w:nsid w:val="7BC20855"/>
    <w:multiLevelType w:val="multilevel"/>
    <w:tmpl w:val="F06E6CC8"/>
    <w:lvl w:ilvl="0">
      <w:start w:val="1"/>
      <w:numFmt w:val="decimal"/>
      <w:lvlText w:val="%1."/>
      <w:lvlJc w:val="left"/>
      <w:pPr>
        <w:ind w:left="187" w:hanging="187"/>
      </w:pPr>
      <w:rPr>
        <w:rFonts w:hint="default"/>
      </w:rPr>
    </w:lvl>
    <w:lvl w:ilvl="1">
      <w:start w:val="1"/>
      <w:numFmt w:val="bullet"/>
      <w:lvlText w:val="–"/>
      <w:lvlJc w:val="left"/>
      <w:pPr>
        <w:ind w:left="374" w:hanging="187"/>
      </w:pPr>
      <w:rPr>
        <w:rFonts w:ascii="Arial" w:hAnsi="Arial" w:hint="default"/>
      </w:rPr>
    </w:lvl>
    <w:lvl w:ilvl="2">
      <w:start w:val="1"/>
      <w:numFmt w:val="bullet"/>
      <w:lvlText w:val="•"/>
      <w:lvlJc w:val="left"/>
      <w:pPr>
        <w:ind w:left="561" w:hanging="187"/>
      </w:pPr>
      <w:rPr>
        <w:rFonts w:ascii="Arial" w:hAnsi="Arial" w:hint="default"/>
      </w:rPr>
    </w:lvl>
    <w:lvl w:ilvl="3">
      <w:start w:val="1"/>
      <w:numFmt w:val="bullet"/>
      <w:lvlText w:val="–"/>
      <w:lvlJc w:val="left"/>
      <w:pPr>
        <w:ind w:left="748" w:hanging="187"/>
      </w:pPr>
      <w:rPr>
        <w:rFonts w:ascii="Arial" w:hAnsi="Arial" w:hint="default"/>
      </w:rPr>
    </w:lvl>
    <w:lvl w:ilvl="4">
      <w:start w:val="1"/>
      <w:numFmt w:val="bullet"/>
      <w:lvlText w:val="•"/>
      <w:lvlJc w:val="left"/>
      <w:pPr>
        <w:ind w:left="935" w:hanging="187"/>
      </w:pPr>
      <w:rPr>
        <w:rFonts w:ascii="Arial" w:hAnsi="Arial" w:hint="default"/>
      </w:rPr>
    </w:lvl>
    <w:lvl w:ilvl="5">
      <w:start w:val="1"/>
      <w:numFmt w:val="bullet"/>
      <w:lvlText w:val="–"/>
      <w:lvlJc w:val="left"/>
      <w:pPr>
        <w:ind w:left="1122" w:hanging="187"/>
      </w:pPr>
      <w:rPr>
        <w:rFonts w:ascii="Arial" w:hAnsi="Arial" w:hint="default"/>
      </w:rPr>
    </w:lvl>
    <w:lvl w:ilvl="6">
      <w:start w:val="1"/>
      <w:numFmt w:val="bullet"/>
      <w:lvlText w:val="•"/>
      <w:lvlJc w:val="left"/>
      <w:pPr>
        <w:ind w:left="1309" w:hanging="187"/>
      </w:pPr>
      <w:rPr>
        <w:rFonts w:ascii="Arial" w:hAnsi="Arial" w:hint="default"/>
      </w:rPr>
    </w:lvl>
    <w:lvl w:ilvl="7">
      <w:start w:val="1"/>
      <w:numFmt w:val="bullet"/>
      <w:lvlText w:val="–"/>
      <w:lvlJc w:val="left"/>
      <w:pPr>
        <w:ind w:left="1496" w:hanging="187"/>
      </w:pPr>
      <w:rPr>
        <w:rFonts w:ascii="Arial" w:hAnsi="Arial" w:hint="default"/>
      </w:rPr>
    </w:lvl>
    <w:lvl w:ilvl="8">
      <w:start w:val="1"/>
      <w:numFmt w:val="bullet"/>
      <w:lvlText w:val="•"/>
      <w:lvlJc w:val="left"/>
      <w:pPr>
        <w:ind w:left="1683" w:hanging="187"/>
      </w:pPr>
      <w:rPr>
        <w:rFonts w:ascii="Arial" w:hAnsi="Arial" w:hint="default"/>
      </w:rPr>
    </w:lvl>
  </w:abstractNum>
  <w:num w:numId="1" w16cid:durableId="146092558">
    <w:abstractNumId w:val="10"/>
  </w:num>
  <w:num w:numId="2" w16cid:durableId="323433064">
    <w:abstractNumId w:val="4"/>
  </w:num>
  <w:num w:numId="3" w16cid:durableId="455492711">
    <w:abstractNumId w:val="9"/>
  </w:num>
  <w:num w:numId="4" w16cid:durableId="2031761919">
    <w:abstractNumId w:val="16"/>
  </w:num>
  <w:num w:numId="5" w16cid:durableId="354505164">
    <w:abstractNumId w:val="12"/>
  </w:num>
  <w:num w:numId="6" w16cid:durableId="1031152629">
    <w:abstractNumId w:val="13"/>
  </w:num>
  <w:num w:numId="7" w16cid:durableId="1330712738">
    <w:abstractNumId w:val="6"/>
  </w:num>
  <w:num w:numId="8" w16cid:durableId="870337572">
    <w:abstractNumId w:val="2"/>
  </w:num>
  <w:num w:numId="9" w16cid:durableId="478421492">
    <w:abstractNumId w:val="0"/>
  </w:num>
  <w:num w:numId="10" w16cid:durableId="1301229172">
    <w:abstractNumId w:val="15"/>
  </w:num>
  <w:num w:numId="11" w16cid:durableId="1684817369">
    <w:abstractNumId w:val="18"/>
  </w:num>
  <w:num w:numId="12" w16cid:durableId="190724987">
    <w:abstractNumId w:val="8"/>
  </w:num>
  <w:num w:numId="13" w16cid:durableId="1961759327">
    <w:abstractNumId w:val="11"/>
  </w:num>
  <w:num w:numId="14" w16cid:durableId="533543466">
    <w:abstractNumId w:val="1"/>
  </w:num>
  <w:num w:numId="15" w16cid:durableId="320164063">
    <w:abstractNumId w:val="7"/>
  </w:num>
  <w:num w:numId="16" w16cid:durableId="1255553280">
    <w:abstractNumId w:val="19"/>
  </w:num>
  <w:num w:numId="17" w16cid:durableId="859050862">
    <w:abstractNumId w:val="3"/>
  </w:num>
  <w:num w:numId="18" w16cid:durableId="782193900">
    <w:abstractNumId w:val="5"/>
  </w:num>
  <w:num w:numId="19" w16cid:durableId="760951286">
    <w:abstractNumId w:val="17"/>
  </w:num>
  <w:num w:numId="20" w16cid:durableId="1290863371">
    <w:abstractNumId w:val="1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EE4"/>
    <w:rsid w:val="00002C26"/>
    <w:rsid w:val="00005364"/>
    <w:rsid w:val="0000650A"/>
    <w:rsid w:val="00010DDF"/>
    <w:rsid w:val="00016C1E"/>
    <w:rsid w:val="000206A7"/>
    <w:rsid w:val="000207F3"/>
    <w:rsid w:val="00033B64"/>
    <w:rsid w:val="00034670"/>
    <w:rsid w:val="00036753"/>
    <w:rsid w:val="00036B27"/>
    <w:rsid w:val="0004176C"/>
    <w:rsid w:val="000422D1"/>
    <w:rsid w:val="0004598E"/>
    <w:rsid w:val="0004672E"/>
    <w:rsid w:val="000517DE"/>
    <w:rsid w:val="00051EDA"/>
    <w:rsid w:val="00060A17"/>
    <w:rsid w:val="00064E45"/>
    <w:rsid w:val="00067EFC"/>
    <w:rsid w:val="00074745"/>
    <w:rsid w:val="00084247"/>
    <w:rsid w:val="00084B4E"/>
    <w:rsid w:val="00085025"/>
    <w:rsid w:val="000924EB"/>
    <w:rsid w:val="00093ED0"/>
    <w:rsid w:val="00095ACF"/>
    <w:rsid w:val="00096957"/>
    <w:rsid w:val="0009737C"/>
    <w:rsid w:val="000A48DF"/>
    <w:rsid w:val="000A6D80"/>
    <w:rsid w:val="000B21B5"/>
    <w:rsid w:val="000C0ACD"/>
    <w:rsid w:val="000D6C0E"/>
    <w:rsid w:val="000E0C26"/>
    <w:rsid w:val="000E0EFF"/>
    <w:rsid w:val="000F36B0"/>
    <w:rsid w:val="000F5A9B"/>
    <w:rsid w:val="00100E59"/>
    <w:rsid w:val="00102042"/>
    <w:rsid w:val="001138EB"/>
    <w:rsid w:val="001226AA"/>
    <w:rsid w:val="00127009"/>
    <w:rsid w:val="00130AA6"/>
    <w:rsid w:val="001334FF"/>
    <w:rsid w:val="00143F30"/>
    <w:rsid w:val="0014446C"/>
    <w:rsid w:val="001474B2"/>
    <w:rsid w:val="00147FA7"/>
    <w:rsid w:val="001558D3"/>
    <w:rsid w:val="001562E5"/>
    <w:rsid w:val="001636DD"/>
    <w:rsid w:val="00166F82"/>
    <w:rsid w:val="00167E29"/>
    <w:rsid w:val="001726E4"/>
    <w:rsid w:val="001733D9"/>
    <w:rsid w:val="001739D4"/>
    <w:rsid w:val="00174268"/>
    <w:rsid w:val="00174868"/>
    <w:rsid w:val="00184DE6"/>
    <w:rsid w:val="001861F1"/>
    <w:rsid w:val="00192AF6"/>
    <w:rsid w:val="001932EC"/>
    <w:rsid w:val="00194229"/>
    <w:rsid w:val="0019618A"/>
    <w:rsid w:val="00197E75"/>
    <w:rsid w:val="001A2779"/>
    <w:rsid w:val="001A28A2"/>
    <w:rsid w:val="001A6230"/>
    <w:rsid w:val="001B2261"/>
    <w:rsid w:val="001B2935"/>
    <w:rsid w:val="001B4E6B"/>
    <w:rsid w:val="001B58F0"/>
    <w:rsid w:val="001C1334"/>
    <w:rsid w:val="001C397F"/>
    <w:rsid w:val="001C4AB9"/>
    <w:rsid w:val="001C4C67"/>
    <w:rsid w:val="001D00FC"/>
    <w:rsid w:val="001D1F35"/>
    <w:rsid w:val="001D6D63"/>
    <w:rsid w:val="001E1749"/>
    <w:rsid w:val="001E3FF4"/>
    <w:rsid w:val="001E42F6"/>
    <w:rsid w:val="0020159E"/>
    <w:rsid w:val="002026C7"/>
    <w:rsid w:val="00202C7C"/>
    <w:rsid w:val="00202EDA"/>
    <w:rsid w:val="0020504C"/>
    <w:rsid w:val="0021464A"/>
    <w:rsid w:val="002159CE"/>
    <w:rsid w:val="00220220"/>
    <w:rsid w:val="00220749"/>
    <w:rsid w:val="0022216A"/>
    <w:rsid w:val="00222234"/>
    <w:rsid w:val="00224D46"/>
    <w:rsid w:val="00225825"/>
    <w:rsid w:val="00230E11"/>
    <w:rsid w:val="0023124A"/>
    <w:rsid w:val="00232E00"/>
    <w:rsid w:val="0025368F"/>
    <w:rsid w:val="0025521E"/>
    <w:rsid w:val="00262ED9"/>
    <w:rsid w:val="00263DF1"/>
    <w:rsid w:val="0027135F"/>
    <w:rsid w:val="00273A3A"/>
    <w:rsid w:val="002747B7"/>
    <w:rsid w:val="002807E9"/>
    <w:rsid w:val="00280F43"/>
    <w:rsid w:val="00281E7B"/>
    <w:rsid w:val="002836AF"/>
    <w:rsid w:val="00285C40"/>
    <w:rsid w:val="00285E7B"/>
    <w:rsid w:val="0028712C"/>
    <w:rsid w:val="00292954"/>
    <w:rsid w:val="0029401E"/>
    <w:rsid w:val="002955B7"/>
    <w:rsid w:val="002957AD"/>
    <w:rsid w:val="00295CE8"/>
    <w:rsid w:val="002A1516"/>
    <w:rsid w:val="002A2526"/>
    <w:rsid w:val="002A38AC"/>
    <w:rsid w:val="002A449A"/>
    <w:rsid w:val="002B4747"/>
    <w:rsid w:val="002B69C4"/>
    <w:rsid w:val="002C4175"/>
    <w:rsid w:val="002C478A"/>
    <w:rsid w:val="002D240F"/>
    <w:rsid w:val="002D5255"/>
    <w:rsid w:val="002E379B"/>
    <w:rsid w:val="002E78C4"/>
    <w:rsid w:val="002F3AEF"/>
    <w:rsid w:val="003007DA"/>
    <w:rsid w:val="00307A84"/>
    <w:rsid w:val="00313D1F"/>
    <w:rsid w:val="003161BF"/>
    <w:rsid w:val="003222C5"/>
    <w:rsid w:val="0032432F"/>
    <w:rsid w:val="003274EF"/>
    <w:rsid w:val="00330588"/>
    <w:rsid w:val="003316DF"/>
    <w:rsid w:val="00334220"/>
    <w:rsid w:val="00336BD7"/>
    <w:rsid w:val="003415B4"/>
    <w:rsid w:val="0037503F"/>
    <w:rsid w:val="003804A3"/>
    <w:rsid w:val="00381B9D"/>
    <w:rsid w:val="00383042"/>
    <w:rsid w:val="0038538A"/>
    <w:rsid w:val="00392615"/>
    <w:rsid w:val="003A14FB"/>
    <w:rsid w:val="003A262D"/>
    <w:rsid w:val="003A2644"/>
    <w:rsid w:val="003A63E0"/>
    <w:rsid w:val="003B2B3C"/>
    <w:rsid w:val="003C7AC1"/>
    <w:rsid w:val="003D000B"/>
    <w:rsid w:val="003D0FE5"/>
    <w:rsid w:val="003D1234"/>
    <w:rsid w:val="003D3264"/>
    <w:rsid w:val="003D41ED"/>
    <w:rsid w:val="003D7FAE"/>
    <w:rsid w:val="003E074E"/>
    <w:rsid w:val="003E4259"/>
    <w:rsid w:val="003F59F3"/>
    <w:rsid w:val="00401919"/>
    <w:rsid w:val="00403291"/>
    <w:rsid w:val="004055E5"/>
    <w:rsid w:val="00406490"/>
    <w:rsid w:val="004174F9"/>
    <w:rsid w:val="00417D75"/>
    <w:rsid w:val="00422273"/>
    <w:rsid w:val="00423805"/>
    <w:rsid w:val="00440292"/>
    <w:rsid w:val="00443131"/>
    <w:rsid w:val="00444EDC"/>
    <w:rsid w:val="00445B80"/>
    <w:rsid w:val="00446C3B"/>
    <w:rsid w:val="00446C91"/>
    <w:rsid w:val="00455096"/>
    <w:rsid w:val="0045595D"/>
    <w:rsid w:val="00462663"/>
    <w:rsid w:val="00462764"/>
    <w:rsid w:val="00470419"/>
    <w:rsid w:val="0047067A"/>
    <w:rsid w:val="00477613"/>
    <w:rsid w:val="004874D0"/>
    <w:rsid w:val="00487B53"/>
    <w:rsid w:val="004913E9"/>
    <w:rsid w:val="00491C6C"/>
    <w:rsid w:val="00494A95"/>
    <w:rsid w:val="004A2E10"/>
    <w:rsid w:val="004A3CD4"/>
    <w:rsid w:val="004A790D"/>
    <w:rsid w:val="004A7B2B"/>
    <w:rsid w:val="004B2B9A"/>
    <w:rsid w:val="004B7A04"/>
    <w:rsid w:val="004C153D"/>
    <w:rsid w:val="004C1956"/>
    <w:rsid w:val="004C1E70"/>
    <w:rsid w:val="004D1F63"/>
    <w:rsid w:val="004E0164"/>
    <w:rsid w:val="004E0F7F"/>
    <w:rsid w:val="004E1A05"/>
    <w:rsid w:val="004E45E7"/>
    <w:rsid w:val="004F081B"/>
    <w:rsid w:val="004F2435"/>
    <w:rsid w:val="00507B4E"/>
    <w:rsid w:val="00513628"/>
    <w:rsid w:val="00522506"/>
    <w:rsid w:val="005233B7"/>
    <w:rsid w:val="0052509E"/>
    <w:rsid w:val="00526AAB"/>
    <w:rsid w:val="00533ECD"/>
    <w:rsid w:val="00534465"/>
    <w:rsid w:val="00535288"/>
    <w:rsid w:val="00535626"/>
    <w:rsid w:val="005373EF"/>
    <w:rsid w:val="005432F9"/>
    <w:rsid w:val="00553F1B"/>
    <w:rsid w:val="00555006"/>
    <w:rsid w:val="005552E8"/>
    <w:rsid w:val="00557EE4"/>
    <w:rsid w:val="005608A1"/>
    <w:rsid w:val="00566EEF"/>
    <w:rsid w:val="005854D9"/>
    <w:rsid w:val="0058606C"/>
    <w:rsid w:val="00591AC5"/>
    <w:rsid w:val="00591D97"/>
    <w:rsid w:val="00592822"/>
    <w:rsid w:val="00592945"/>
    <w:rsid w:val="00594DD4"/>
    <w:rsid w:val="00595D5D"/>
    <w:rsid w:val="005A04DF"/>
    <w:rsid w:val="005A712E"/>
    <w:rsid w:val="005B1230"/>
    <w:rsid w:val="005B1BD8"/>
    <w:rsid w:val="005B2C70"/>
    <w:rsid w:val="005B720E"/>
    <w:rsid w:val="005C1D96"/>
    <w:rsid w:val="005C2745"/>
    <w:rsid w:val="005C6F15"/>
    <w:rsid w:val="005D1AAB"/>
    <w:rsid w:val="005D77BD"/>
    <w:rsid w:val="005E15B3"/>
    <w:rsid w:val="005E5E8D"/>
    <w:rsid w:val="005F3D47"/>
    <w:rsid w:val="005F69F4"/>
    <w:rsid w:val="005F7AE8"/>
    <w:rsid w:val="006023D7"/>
    <w:rsid w:val="00602BCE"/>
    <w:rsid w:val="006126E0"/>
    <w:rsid w:val="0061627B"/>
    <w:rsid w:val="00616942"/>
    <w:rsid w:val="0061750D"/>
    <w:rsid w:val="00617E5B"/>
    <w:rsid w:val="006250BB"/>
    <w:rsid w:val="00625894"/>
    <w:rsid w:val="00627EC5"/>
    <w:rsid w:val="00631F5A"/>
    <w:rsid w:val="006328BA"/>
    <w:rsid w:val="00632A2F"/>
    <w:rsid w:val="0064030F"/>
    <w:rsid w:val="006428E4"/>
    <w:rsid w:val="00643E73"/>
    <w:rsid w:val="00645FB7"/>
    <w:rsid w:val="0064628E"/>
    <w:rsid w:val="00647956"/>
    <w:rsid w:val="0065024B"/>
    <w:rsid w:val="00651320"/>
    <w:rsid w:val="00652128"/>
    <w:rsid w:val="00652941"/>
    <w:rsid w:val="00653B9C"/>
    <w:rsid w:val="00654B22"/>
    <w:rsid w:val="00654FC4"/>
    <w:rsid w:val="00656CD8"/>
    <w:rsid w:val="00657D40"/>
    <w:rsid w:val="00660BF5"/>
    <w:rsid w:val="00664375"/>
    <w:rsid w:val="00666411"/>
    <w:rsid w:val="00667F2A"/>
    <w:rsid w:val="00670BF6"/>
    <w:rsid w:val="006713F6"/>
    <w:rsid w:val="00671B14"/>
    <w:rsid w:val="0067307C"/>
    <w:rsid w:val="006733DF"/>
    <w:rsid w:val="0067771D"/>
    <w:rsid w:val="0068460B"/>
    <w:rsid w:val="0068488A"/>
    <w:rsid w:val="00690CF9"/>
    <w:rsid w:val="006942A0"/>
    <w:rsid w:val="00695D37"/>
    <w:rsid w:val="00696FD1"/>
    <w:rsid w:val="006A39FE"/>
    <w:rsid w:val="006A3B1F"/>
    <w:rsid w:val="006A3EFA"/>
    <w:rsid w:val="006A7B0C"/>
    <w:rsid w:val="006B0E3F"/>
    <w:rsid w:val="006B329E"/>
    <w:rsid w:val="006B7AEB"/>
    <w:rsid w:val="006C0362"/>
    <w:rsid w:val="006C4227"/>
    <w:rsid w:val="006C4FAD"/>
    <w:rsid w:val="006D252C"/>
    <w:rsid w:val="006D69B6"/>
    <w:rsid w:val="006E0798"/>
    <w:rsid w:val="006E0D67"/>
    <w:rsid w:val="006E247C"/>
    <w:rsid w:val="006E61DE"/>
    <w:rsid w:val="006E686C"/>
    <w:rsid w:val="006F0F29"/>
    <w:rsid w:val="006F18E0"/>
    <w:rsid w:val="006F4261"/>
    <w:rsid w:val="006F6748"/>
    <w:rsid w:val="006F74A8"/>
    <w:rsid w:val="007201A6"/>
    <w:rsid w:val="00720CDC"/>
    <w:rsid w:val="0073078B"/>
    <w:rsid w:val="00731B4E"/>
    <w:rsid w:val="00732F53"/>
    <w:rsid w:val="00734397"/>
    <w:rsid w:val="00736984"/>
    <w:rsid w:val="00745898"/>
    <w:rsid w:val="00745C8A"/>
    <w:rsid w:val="00747D22"/>
    <w:rsid w:val="007538EC"/>
    <w:rsid w:val="007556D3"/>
    <w:rsid w:val="00761712"/>
    <w:rsid w:val="0077073D"/>
    <w:rsid w:val="00773E28"/>
    <w:rsid w:val="00774FE9"/>
    <w:rsid w:val="00776723"/>
    <w:rsid w:val="00777818"/>
    <w:rsid w:val="00785D7A"/>
    <w:rsid w:val="00792196"/>
    <w:rsid w:val="00793E36"/>
    <w:rsid w:val="00795604"/>
    <w:rsid w:val="00796480"/>
    <w:rsid w:val="007A2AF9"/>
    <w:rsid w:val="007A4B4C"/>
    <w:rsid w:val="007A7B74"/>
    <w:rsid w:val="007B1125"/>
    <w:rsid w:val="007B1F8D"/>
    <w:rsid w:val="007C238F"/>
    <w:rsid w:val="007D027F"/>
    <w:rsid w:val="007D3570"/>
    <w:rsid w:val="007D511E"/>
    <w:rsid w:val="007D58B3"/>
    <w:rsid w:val="007D7063"/>
    <w:rsid w:val="007D7C79"/>
    <w:rsid w:val="007E61CF"/>
    <w:rsid w:val="007F6E4A"/>
    <w:rsid w:val="00804B60"/>
    <w:rsid w:val="00825D2C"/>
    <w:rsid w:val="008261C9"/>
    <w:rsid w:val="008322CD"/>
    <w:rsid w:val="00835D5A"/>
    <w:rsid w:val="008375BE"/>
    <w:rsid w:val="00840786"/>
    <w:rsid w:val="0085185B"/>
    <w:rsid w:val="008552AB"/>
    <w:rsid w:val="00855916"/>
    <w:rsid w:val="0085657A"/>
    <w:rsid w:val="00860B82"/>
    <w:rsid w:val="00862BAA"/>
    <w:rsid w:val="00871218"/>
    <w:rsid w:val="0087276D"/>
    <w:rsid w:val="00876DA7"/>
    <w:rsid w:val="008778A6"/>
    <w:rsid w:val="008839F7"/>
    <w:rsid w:val="00885686"/>
    <w:rsid w:val="00886D01"/>
    <w:rsid w:val="0088760A"/>
    <w:rsid w:val="00895383"/>
    <w:rsid w:val="00895406"/>
    <w:rsid w:val="008A6656"/>
    <w:rsid w:val="008A699D"/>
    <w:rsid w:val="008A741E"/>
    <w:rsid w:val="008B3593"/>
    <w:rsid w:val="008B4580"/>
    <w:rsid w:val="008B5506"/>
    <w:rsid w:val="008B7CD7"/>
    <w:rsid w:val="008C4E88"/>
    <w:rsid w:val="008C4F03"/>
    <w:rsid w:val="008C6D22"/>
    <w:rsid w:val="008D0F9E"/>
    <w:rsid w:val="008E5005"/>
    <w:rsid w:val="008F568D"/>
    <w:rsid w:val="00900195"/>
    <w:rsid w:val="00902E3C"/>
    <w:rsid w:val="00912A0B"/>
    <w:rsid w:val="00914C10"/>
    <w:rsid w:val="00915CB7"/>
    <w:rsid w:val="00916B16"/>
    <w:rsid w:val="00916C23"/>
    <w:rsid w:val="00943C47"/>
    <w:rsid w:val="00946D44"/>
    <w:rsid w:val="00946FE9"/>
    <w:rsid w:val="00952BDE"/>
    <w:rsid w:val="00957E10"/>
    <w:rsid w:val="00960FD7"/>
    <w:rsid w:val="0096143D"/>
    <w:rsid w:val="00966B62"/>
    <w:rsid w:val="00967A64"/>
    <w:rsid w:val="00983881"/>
    <w:rsid w:val="00984DA9"/>
    <w:rsid w:val="00997DA9"/>
    <w:rsid w:val="009A29E4"/>
    <w:rsid w:val="009A609B"/>
    <w:rsid w:val="009B4DB1"/>
    <w:rsid w:val="009C2D84"/>
    <w:rsid w:val="009C3514"/>
    <w:rsid w:val="009C4901"/>
    <w:rsid w:val="009C4F46"/>
    <w:rsid w:val="009C74BD"/>
    <w:rsid w:val="009D4C60"/>
    <w:rsid w:val="009E21A6"/>
    <w:rsid w:val="009E22B3"/>
    <w:rsid w:val="009E2FBD"/>
    <w:rsid w:val="009E4DA5"/>
    <w:rsid w:val="009E54F7"/>
    <w:rsid w:val="009E5C4A"/>
    <w:rsid w:val="009E7E0B"/>
    <w:rsid w:val="009F18AF"/>
    <w:rsid w:val="009F251B"/>
    <w:rsid w:val="009F480A"/>
    <w:rsid w:val="009F5C66"/>
    <w:rsid w:val="009F783D"/>
    <w:rsid w:val="009F799C"/>
    <w:rsid w:val="00A015FD"/>
    <w:rsid w:val="00A01F65"/>
    <w:rsid w:val="00A02D94"/>
    <w:rsid w:val="00A03600"/>
    <w:rsid w:val="00A22D0C"/>
    <w:rsid w:val="00A25C00"/>
    <w:rsid w:val="00A26657"/>
    <w:rsid w:val="00A3588F"/>
    <w:rsid w:val="00A37086"/>
    <w:rsid w:val="00A4001F"/>
    <w:rsid w:val="00A40AA0"/>
    <w:rsid w:val="00A41586"/>
    <w:rsid w:val="00A4483D"/>
    <w:rsid w:val="00A5049C"/>
    <w:rsid w:val="00A50659"/>
    <w:rsid w:val="00A51842"/>
    <w:rsid w:val="00A53585"/>
    <w:rsid w:val="00A5481C"/>
    <w:rsid w:val="00A558D4"/>
    <w:rsid w:val="00A6136F"/>
    <w:rsid w:val="00A62DF1"/>
    <w:rsid w:val="00A62F72"/>
    <w:rsid w:val="00A6447A"/>
    <w:rsid w:val="00A6768C"/>
    <w:rsid w:val="00A677AB"/>
    <w:rsid w:val="00A6786C"/>
    <w:rsid w:val="00A75484"/>
    <w:rsid w:val="00A8090F"/>
    <w:rsid w:val="00A8193D"/>
    <w:rsid w:val="00A823FA"/>
    <w:rsid w:val="00A9221C"/>
    <w:rsid w:val="00A92501"/>
    <w:rsid w:val="00A95D97"/>
    <w:rsid w:val="00AA0A9C"/>
    <w:rsid w:val="00AA204B"/>
    <w:rsid w:val="00AA544B"/>
    <w:rsid w:val="00AA625E"/>
    <w:rsid w:val="00AA7440"/>
    <w:rsid w:val="00AB3232"/>
    <w:rsid w:val="00AC1662"/>
    <w:rsid w:val="00AD0931"/>
    <w:rsid w:val="00AD52BA"/>
    <w:rsid w:val="00AD7BE7"/>
    <w:rsid w:val="00AE22A4"/>
    <w:rsid w:val="00AE4024"/>
    <w:rsid w:val="00AE466B"/>
    <w:rsid w:val="00AF0EAE"/>
    <w:rsid w:val="00B00426"/>
    <w:rsid w:val="00B03DF8"/>
    <w:rsid w:val="00B05514"/>
    <w:rsid w:val="00B06FD5"/>
    <w:rsid w:val="00B13CAF"/>
    <w:rsid w:val="00B14C5A"/>
    <w:rsid w:val="00B21D07"/>
    <w:rsid w:val="00B225B4"/>
    <w:rsid w:val="00B27B98"/>
    <w:rsid w:val="00B51A53"/>
    <w:rsid w:val="00B52E5E"/>
    <w:rsid w:val="00B554F7"/>
    <w:rsid w:val="00B55DD9"/>
    <w:rsid w:val="00B571B6"/>
    <w:rsid w:val="00B60A02"/>
    <w:rsid w:val="00B7504F"/>
    <w:rsid w:val="00B754D1"/>
    <w:rsid w:val="00B76877"/>
    <w:rsid w:val="00B84DBE"/>
    <w:rsid w:val="00B92361"/>
    <w:rsid w:val="00B923FA"/>
    <w:rsid w:val="00B93534"/>
    <w:rsid w:val="00B948A8"/>
    <w:rsid w:val="00B9670E"/>
    <w:rsid w:val="00B97FD8"/>
    <w:rsid w:val="00BA07FC"/>
    <w:rsid w:val="00BA33B3"/>
    <w:rsid w:val="00BA3B60"/>
    <w:rsid w:val="00BA4C30"/>
    <w:rsid w:val="00BB1529"/>
    <w:rsid w:val="00BB1FD0"/>
    <w:rsid w:val="00BB2CB3"/>
    <w:rsid w:val="00BB6BD3"/>
    <w:rsid w:val="00BB788C"/>
    <w:rsid w:val="00BC0771"/>
    <w:rsid w:val="00BC2088"/>
    <w:rsid w:val="00BC4081"/>
    <w:rsid w:val="00BD001D"/>
    <w:rsid w:val="00BD05B3"/>
    <w:rsid w:val="00BD2AF7"/>
    <w:rsid w:val="00BE18BF"/>
    <w:rsid w:val="00BE647E"/>
    <w:rsid w:val="00BE757A"/>
    <w:rsid w:val="00BF2C69"/>
    <w:rsid w:val="00C04645"/>
    <w:rsid w:val="00C11770"/>
    <w:rsid w:val="00C1465E"/>
    <w:rsid w:val="00C17242"/>
    <w:rsid w:val="00C25D0C"/>
    <w:rsid w:val="00C326E6"/>
    <w:rsid w:val="00C400E2"/>
    <w:rsid w:val="00C42E46"/>
    <w:rsid w:val="00C4509D"/>
    <w:rsid w:val="00C5113F"/>
    <w:rsid w:val="00C632DE"/>
    <w:rsid w:val="00C6336F"/>
    <w:rsid w:val="00C639F4"/>
    <w:rsid w:val="00C63D5B"/>
    <w:rsid w:val="00C75977"/>
    <w:rsid w:val="00C82412"/>
    <w:rsid w:val="00C8271C"/>
    <w:rsid w:val="00C879EE"/>
    <w:rsid w:val="00C95D9B"/>
    <w:rsid w:val="00CA2E7B"/>
    <w:rsid w:val="00CA3478"/>
    <w:rsid w:val="00CA677F"/>
    <w:rsid w:val="00CC0C11"/>
    <w:rsid w:val="00CC174F"/>
    <w:rsid w:val="00CC3395"/>
    <w:rsid w:val="00CC3792"/>
    <w:rsid w:val="00CC726E"/>
    <w:rsid w:val="00CD3A33"/>
    <w:rsid w:val="00CD4B60"/>
    <w:rsid w:val="00CF4B7F"/>
    <w:rsid w:val="00CF4D8F"/>
    <w:rsid w:val="00CF7B1A"/>
    <w:rsid w:val="00D0549C"/>
    <w:rsid w:val="00D074FD"/>
    <w:rsid w:val="00D206C6"/>
    <w:rsid w:val="00D23E5E"/>
    <w:rsid w:val="00D25020"/>
    <w:rsid w:val="00D27827"/>
    <w:rsid w:val="00D45F51"/>
    <w:rsid w:val="00D47C7D"/>
    <w:rsid w:val="00D47F1D"/>
    <w:rsid w:val="00D5471C"/>
    <w:rsid w:val="00D56434"/>
    <w:rsid w:val="00D564D7"/>
    <w:rsid w:val="00D6092B"/>
    <w:rsid w:val="00D627B5"/>
    <w:rsid w:val="00D65D03"/>
    <w:rsid w:val="00D6635D"/>
    <w:rsid w:val="00D72FBD"/>
    <w:rsid w:val="00D75395"/>
    <w:rsid w:val="00D76770"/>
    <w:rsid w:val="00D776D1"/>
    <w:rsid w:val="00D806DC"/>
    <w:rsid w:val="00D82859"/>
    <w:rsid w:val="00D85002"/>
    <w:rsid w:val="00D87A45"/>
    <w:rsid w:val="00D922B2"/>
    <w:rsid w:val="00D9317B"/>
    <w:rsid w:val="00D969EA"/>
    <w:rsid w:val="00D97BBE"/>
    <w:rsid w:val="00DA22FA"/>
    <w:rsid w:val="00DA2DD1"/>
    <w:rsid w:val="00DA4E81"/>
    <w:rsid w:val="00DB060E"/>
    <w:rsid w:val="00DB0C73"/>
    <w:rsid w:val="00DC07F1"/>
    <w:rsid w:val="00DC0850"/>
    <w:rsid w:val="00DC4268"/>
    <w:rsid w:val="00DD1B9B"/>
    <w:rsid w:val="00DE2FE5"/>
    <w:rsid w:val="00DF1259"/>
    <w:rsid w:val="00DF4251"/>
    <w:rsid w:val="00DF456D"/>
    <w:rsid w:val="00DF79CA"/>
    <w:rsid w:val="00E00983"/>
    <w:rsid w:val="00E00C2D"/>
    <w:rsid w:val="00E00D3B"/>
    <w:rsid w:val="00E06D0C"/>
    <w:rsid w:val="00E15EAD"/>
    <w:rsid w:val="00E16618"/>
    <w:rsid w:val="00E16A3C"/>
    <w:rsid w:val="00E21077"/>
    <w:rsid w:val="00E26132"/>
    <w:rsid w:val="00E26254"/>
    <w:rsid w:val="00E312F9"/>
    <w:rsid w:val="00E35472"/>
    <w:rsid w:val="00E40718"/>
    <w:rsid w:val="00E452DD"/>
    <w:rsid w:val="00E46B5B"/>
    <w:rsid w:val="00E52D6B"/>
    <w:rsid w:val="00E62366"/>
    <w:rsid w:val="00E7043A"/>
    <w:rsid w:val="00E711EA"/>
    <w:rsid w:val="00E7192D"/>
    <w:rsid w:val="00E82F2E"/>
    <w:rsid w:val="00E963AC"/>
    <w:rsid w:val="00E96D6A"/>
    <w:rsid w:val="00E97239"/>
    <w:rsid w:val="00EA23A7"/>
    <w:rsid w:val="00EB0B50"/>
    <w:rsid w:val="00EB0C40"/>
    <w:rsid w:val="00EB4E1D"/>
    <w:rsid w:val="00EB56E6"/>
    <w:rsid w:val="00EB5B87"/>
    <w:rsid w:val="00EC13EC"/>
    <w:rsid w:val="00EC2EC4"/>
    <w:rsid w:val="00EC38A7"/>
    <w:rsid w:val="00EC39E9"/>
    <w:rsid w:val="00EC49FC"/>
    <w:rsid w:val="00EC6629"/>
    <w:rsid w:val="00ED32AE"/>
    <w:rsid w:val="00ED4DBC"/>
    <w:rsid w:val="00ED79FA"/>
    <w:rsid w:val="00EE00F1"/>
    <w:rsid w:val="00EE24F2"/>
    <w:rsid w:val="00EF0391"/>
    <w:rsid w:val="00EF40CB"/>
    <w:rsid w:val="00EF6F0E"/>
    <w:rsid w:val="00F01266"/>
    <w:rsid w:val="00F035FB"/>
    <w:rsid w:val="00F127B1"/>
    <w:rsid w:val="00F13212"/>
    <w:rsid w:val="00F16138"/>
    <w:rsid w:val="00F17419"/>
    <w:rsid w:val="00F206FA"/>
    <w:rsid w:val="00F249E0"/>
    <w:rsid w:val="00F35320"/>
    <w:rsid w:val="00F3749D"/>
    <w:rsid w:val="00F64A9D"/>
    <w:rsid w:val="00F74A60"/>
    <w:rsid w:val="00F755C3"/>
    <w:rsid w:val="00F7645D"/>
    <w:rsid w:val="00F815A9"/>
    <w:rsid w:val="00F824E4"/>
    <w:rsid w:val="00F847CC"/>
    <w:rsid w:val="00F84DDB"/>
    <w:rsid w:val="00F93D2E"/>
    <w:rsid w:val="00FA5612"/>
    <w:rsid w:val="00FA691C"/>
    <w:rsid w:val="00FB2836"/>
    <w:rsid w:val="00FB3B3E"/>
    <w:rsid w:val="00FC085D"/>
    <w:rsid w:val="00FD1B50"/>
    <w:rsid w:val="00FD2677"/>
    <w:rsid w:val="00FD4764"/>
    <w:rsid w:val="00FE0EC1"/>
    <w:rsid w:val="00FE493A"/>
    <w:rsid w:val="00FE5F57"/>
    <w:rsid w:val="00FE65E8"/>
    <w:rsid w:val="00FF0FE2"/>
    <w:rsid w:val="02D4150B"/>
    <w:rsid w:val="050FB513"/>
    <w:rsid w:val="08B24033"/>
    <w:rsid w:val="0F131B83"/>
    <w:rsid w:val="0F98AB0A"/>
    <w:rsid w:val="11C34EC7"/>
    <w:rsid w:val="1A2C9CDB"/>
    <w:rsid w:val="1E3E2BDE"/>
    <w:rsid w:val="1EE05908"/>
    <w:rsid w:val="213769A6"/>
    <w:rsid w:val="218FCF7D"/>
    <w:rsid w:val="29495858"/>
    <w:rsid w:val="29CB2932"/>
    <w:rsid w:val="2FFE68E7"/>
    <w:rsid w:val="3020C1E4"/>
    <w:rsid w:val="3491E979"/>
    <w:rsid w:val="350393A6"/>
    <w:rsid w:val="352BD994"/>
    <w:rsid w:val="388B2851"/>
    <w:rsid w:val="3EABAD39"/>
    <w:rsid w:val="43BD06A5"/>
    <w:rsid w:val="43CEA316"/>
    <w:rsid w:val="462D3F4C"/>
    <w:rsid w:val="46A3A59C"/>
    <w:rsid w:val="473A6FB4"/>
    <w:rsid w:val="5814733D"/>
    <w:rsid w:val="5855123F"/>
    <w:rsid w:val="5EED4A8C"/>
    <w:rsid w:val="6000DE73"/>
    <w:rsid w:val="65A18E35"/>
    <w:rsid w:val="69CF9799"/>
    <w:rsid w:val="6A1D1FB6"/>
    <w:rsid w:val="7B10D5B8"/>
    <w:rsid w:val="7B79442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DEFB045"/>
  <w15:chartTrackingRefBased/>
  <w15:docId w15:val="{DAA51169-05BF-4470-819D-FBF579732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323E48" w:themeColor="text1"/>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1" w:unhideWhenUsed="1" w:qFormat="1"/>
    <w:lsdException w:name="heading 5" w:semiHidden="1" w:uiPriority="2" w:unhideWhenUsed="1" w:qFormat="1"/>
    <w:lsdException w:name="heading 6" w:semiHidden="1" w:uiPriority="2" w:unhideWhenUsed="1"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unhideWhenUsed="1"/>
    <w:lsdException w:name="annotation text" w:semiHidden="1"/>
    <w:lsdException w:name="header" w:semiHidden="1" w:unhideWhenUsed="1"/>
    <w:lsdException w:name="footer" w:semiHidden="1" w:unhideWhenUsed="1"/>
    <w:lsdException w:name="index heading" w:semiHidden="1"/>
    <w:lsdException w:name="caption" w:semiHidden="1" w:unhideWhenUsed="1" w:qFormat="1"/>
    <w:lsdException w:name="table of figures" w:semiHidden="1" w:unhideWhenUsed="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unhideWhenUsed="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unhideWhenUsed="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unhideWhenUsed="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EC49FC"/>
  </w:style>
  <w:style w:type="paragraph" w:styleId="Heading1">
    <w:name w:val="heading 1"/>
    <w:aliases w:val="AB Heading 1 (Linked)"/>
    <w:basedOn w:val="Normal"/>
    <w:next w:val="Heading2"/>
    <w:link w:val="Heading1Char"/>
    <w:qFormat/>
    <w:rsid w:val="00D47F1D"/>
    <w:pPr>
      <w:suppressAutoHyphens/>
      <w:spacing w:before="240" w:after="120"/>
      <w:ind w:left="720"/>
      <w:outlineLvl w:val="0"/>
    </w:pPr>
    <w:rPr>
      <w:rFonts w:asciiTheme="majorHAnsi" w:eastAsiaTheme="majorEastAsia" w:hAnsiTheme="majorHAnsi" w:cstheme="majorBidi"/>
      <w:color w:val="222A30" w:themeColor="accent5"/>
      <w:sz w:val="50"/>
      <w:szCs w:val="40"/>
    </w:rPr>
  </w:style>
  <w:style w:type="paragraph" w:styleId="Heading2">
    <w:name w:val="heading 2"/>
    <w:aliases w:val="AB Heading 2 (Linked)"/>
    <w:basedOn w:val="Normal"/>
    <w:next w:val="Heading3"/>
    <w:link w:val="Heading2Char"/>
    <w:qFormat/>
    <w:rsid w:val="00D47F1D"/>
    <w:pPr>
      <w:suppressAutoHyphens/>
      <w:spacing w:after="240"/>
      <w:ind w:left="720"/>
      <w:outlineLvl w:val="1"/>
    </w:pPr>
    <w:rPr>
      <w:rFonts w:eastAsiaTheme="majorEastAsia" w:cstheme="majorBidi"/>
      <w:color w:val="70787E" w:themeColor="accent3"/>
      <w:sz w:val="28"/>
      <w:szCs w:val="30"/>
    </w:rPr>
  </w:style>
  <w:style w:type="paragraph" w:styleId="Heading3">
    <w:name w:val="heading 3"/>
    <w:aliases w:val="AB Heading 3 (Linked)"/>
    <w:basedOn w:val="Normal"/>
    <w:link w:val="Heading3Char"/>
    <w:qFormat/>
    <w:rsid w:val="00D47F1D"/>
    <w:pPr>
      <w:suppressAutoHyphens/>
      <w:spacing w:before="400"/>
      <w:ind w:left="2520"/>
      <w:outlineLvl w:val="2"/>
    </w:pPr>
    <w:rPr>
      <w:rFonts w:asciiTheme="majorHAnsi" w:eastAsiaTheme="majorEastAsia" w:hAnsiTheme="majorHAnsi" w:cstheme="majorBidi"/>
      <w:sz w:val="30"/>
      <w:szCs w:val="27"/>
    </w:rPr>
  </w:style>
  <w:style w:type="paragraph" w:styleId="Heading4">
    <w:name w:val="heading 4"/>
    <w:aliases w:val="AB Graphic Title / Heading 4"/>
    <w:basedOn w:val="Normal"/>
    <w:next w:val="Heading5"/>
    <w:link w:val="Heading4Char"/>
    <w:uiPriority w:val="1"/>
    <w:qFormat/>
    <w:rsid w:val="0021464A"/>
    <w:pPr>
      <w:suppressAutoHyphens/>
      <w:spacing w:before="360" w:after="60"/>
      <w:ind w:left="2520"/>
      <w:outlineLvl w:val="3"/>
    </w:pPr>
    <w:rPr>
      <w:rFonts w:eastAsiaTheme="majorEastAsia" w:cstheme="minorHAnsi"/>
      <w:b/>
      <w:iCs/>
      <w:sz w:val="22"/>
      <w:szCs w:val="22"/>
    </w:rPr>
  </w:style>
  <w:style w:type="paragraph" w:styleId="Heading5">
    <w:name w:val="heading 5"/>
    <w:aliases w:val="AB Graphic Subtitle"/>
    <w:basedOn w:val="Normal"/>
    <w:next w:val="Heading6"/>
    <w:link w:val="Heading5Char"/>
    <w:uiPriority w:val="2"/>
    <w:qFormat/>
    <w:rsid w:val="0021464A"/>
    <w:pPr>
      <w:suppressAutoHyphens/>
      <w:spacing w:before="60" w:after="60"/>
      <w:ind w:left="2520"/>
      <w:outlineLvl w:val="4"/>
    </w:pPr>
    <w:rPr>
      <w:rFonts w:eastAsiaTheme="majorEastAsia" w:cstheme="minorHAnsi"/>
      <w:i/>
    </w:rPr>
  </w:style>
  <w:style w:type="paragraph" w:styleId="Heading6">
    <w:name w:val="heading 6"/>
    <w:aliases w:val="AB n&amp;p Values"/>
    <w:basedOn w:val="Normal"/>
    <w:next w:val="ABSectionText"/>
    <w:link w:val="Heading6Char"/>
    <w:uiPriority w:val="2"/>
    <w:qFormat/>
    <w:rsid w:val="00FC085D"/>
    <w:pPr>
      <w:suppressAutoHyphens/>
      <w:spacing w:before="60" w:after="200"/>
      <w:ind w:left="2520"/>
      <w:outlineLvl w:val="5"/>
    </w:pPr>
    <w:rPr>
      <w:rFonts w:eastAsiaTheme="majorEastAsia" w:cstheme="majorBidi"/>
      <w:sz w:val="17"/>
      <w:szCs w:val="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A26657"/>
    <w:pPr>
      <w:tabs>
        <w:tab w:val="center" w:pos="4680"/>
        <w:tab w:val="right" w:pos="9360"/>
      </w:tabs>
    </w:pPr>
  </w:style>
  <w:style w:type="character" w:customStyle="1" w:styleId="HeaderChar">
    <w:name w:val="Header Char"/>
    <w:basedOn w:val="DefaultParagraphFont"/>
    <w:link w:val="Header"/>
    <w:uiPriority w:val="99"/>
    <w:semiHidden/>
    <w:rsid w:val="00167E29"/>
  </w:style>
  <w:style w:type="paragraph" w:styleId="Footer">
    <w:name w:val="footer"/>
    <w:basedOn w:val="Normal"/>
    <w:link w:val="FooterChar"/>
    <w:uiPriority w:val="99"/>
    <w:semiHidden/>
    <w:rsid w:val="00A26657"/>
    <w:pPr>
      <w:tabs>
        <w:tab w:val="center" w:pos="4680"/>
        <w:tab w:val="right" w:pos="9360"/>
      </w:tabs>
    </w:pPr>
  </w:style>
  <w:style w:type="character" w:customStyle="1" w:styleId="FooterChar">
    <w:name w:val="Footer Char"/>
    <w:basedOn w:val="DefaultParagraphFont"/>
    <w:link w:val="Footer"/>
    <w:uiPriority w:val="99"/>
    <w:semiHidden/>
    <w:rsid w:val="00167E29"/>
  </w:style>
  <w:style w:type="paragraph" w:customStyle="1" w:styleId="ABNormal">
    <w:name w:val="AB Normal"/>
    <w:uiPriority w:val="99"/>
    <w:qFormat/>
    <w:rsid w:val="00A26657"/>
  </w:style>
  <w:style w:type="table" w:styleId="TableGrid">
    <w:name w:val="Table Grid"/>
    <w:basedOn w:val="TableNormal"/>
    <w:uiPriority w:val="39"/>
    <w:rsid w:val="00A266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452DD"/>
    <w:rPr>
      <w:color w:val="808080"/>
    </w:rPr>
  </w:style>
  <w:style w:type="character" w:customStyle="1" w:styleId="Heading1Char">
    <w:name w:val="Heading 1 Char"/>
    <w:aliases w:val="AB Heading 1 (Linked) Char"/>
    <w:basedOn w:val="DefaultParagraphFont"/>
    <w:link w:val="Heading1"/>
    <w:rsid w:val="00D47F1D"/>
    <w:rPr>
      <w:rFonts w:asciiTheme="majorHAnsi" w:eastAsiaTheme="majorEastAsia" w:hAnsiTheme="majorHAnsi" w:cstheme="majorBidi"/>
      <w:color w:val="222A30" w:themeColor="accent5"/>
      <w:sz w:val="50"/>
      <w:szCs w:val="40"/>
    </w:rPr>
  </w:style>
  <w:style w:type="paragraph" w:styleId="BodyText">
    <w:name w:val="Body Text"/>
    <w:basedOn w:val="Normal"/>
    <w:link w:val="BodyTextChar"/>
    <w:uiPriority w:val="99"/>
    <w:semiHidden/>
    <w:rsid w:val="00792196"/>
    <w:pPr>
      <w:spacing w:after="120"/>
    </w:pPr>
  </w:style>
  <w:style w:type="character" w:customStyle="1" w:styleId="BodyTextChar">
    <w:name w:val="Body Text Char"/>
    <w:basedOn w:val="DefaultParagraphFont"/>
    <w:link w:val="BodyText"/>
    <w:uiPriority w:val="99"/>
    <w:semiHidden/>
    <w:rsid w:val="00167E29"/>
  </w:style>
  <w:style w:type="paragraph" w:customStyle="1" w:styleId="ABHeading1NotLinked">
    <w:name w:val="AB Heading 1 (Not Linked)"/>
    <w:basedOn w:val="Heading1"/>
    <w:next w:val="ABHeading2NotLinked"/>
    <w:qFormat/>
    <w:rsid w:val="00792196"/>
  </w:style>
  <w:style w:type="character" w:customStyle="1" w:styleId="Heading2Char">
    <w:name w:val="Heading 2 Char"/>
    <w:aliases w:val="AB Heading 2 (Linked) Char"/>
    <w:basedOn w:val="DefaultParagraphFont"/>
    <w:link w:val="Heading2"/>
    <w:rsid w:val="00D47F1D"/>
    <w:rPr>
      <w:rFonts w:eastAsiaTheme="majorEastAsia" w:cstheme="majorBidi"/>
      <w:color w:val="70787E" w:themeColor="accent3"/>
      <w:sz w:val="28"/>
      <w:szCs w:val="30"/>
    </w:rPr>
  </w:style>
  <w:style w:type="character" w:customStyle="1" w:styleId="Heading3Char">
    <w:name w:val="Heading 3 Char"/>
    <w:aliases w:val="AB Heading 3 (Linked) Char"/>
    <w:basedOn w:val="DefaultParagraphFont"/>
    <w:link w:val="Heading3"/>
    <w:rsid w:val="00D47F1D"/>
    <w:rPr>
      <w:rFonts w:asciiTheme="majorHAnsi" w:eastAsiaTheme="majorEastAsia" w:hAnsiTheme="majorHAnsi" w:cstheme="majorBidi"/>
      <w:sz w:val="30"/>
      <w:szCs w:val="27"/>
    </w:rPr>
  </w:style>
  <w:style w:type="paragraph" w:customStyle="1" w:styleId="ABHeading2NotLinked">
    <w:name w:val="AB Heading 2 (Not Linked)"/>
    <w:basedOn w:val="Heading2"/>
    <w:next w:val="ABHeading3NotLinked"/>
    <w:qFormat/>
    <w:rsid w:val="00774FE9"/>
  </w:style>
  <w:style w:type="paragraph" w:customStyle="1" w:styleId="ABHeading3NotLinked">
    <w:name w:val="AB Heading 3 (Not Linked)"/>
    <w:basedOn w:val="Heading3"/>
    <w:qFormat/>
    <w:rsid w:val="00774FE9"/>
  </w:style>
  <w:style w:type="paragraph" w:customStyle="1" w:styleId="ABSectionText">
    <w:name w:val="AB Section Text"/>
    <w:basedOn w:val="BodyText"/>
    <w:uiPriority w:val="3"/>
    <w:qFormat/>
    <w:rsid w:val="00487B53"/>
    <w:pPr>
      <w:suppressAutoHyphens/>
      <w:spacing w:before="160" w:after="0" w:line="264" w:lineRule="auto"/>
      <w:ind w:left="2520"/>
    </w:pPr>
  </w:style>
  <w:style w:type="paragraph" w:customStyle="1" w:styleId="ABSectionBullets">
    <w:name w:val="AB Section Bullets"/>
    <w:basedOn w:val="ListBullet"/>
    <w:uiPriority w:val="4"/>
    <w:qFormat/>
    <w:rsid w:val="00487B53"/>
    <w:pPr>
      <w:numPr>
        <w:numId w:val="8"/>
      </w:numPr>
      <w:spacing w:before="100"/>
      <w:contextualSpacing w:val="0"/>
    </w:pPr>
  </w:style>
  <w:style w:type="paragraph" w:customStyle="1" w:styleId="ABSectionNumbers">
    <w:name w:val="AB Section Numbers"/>
    <w:basedOn w:val="ABSectionText"/>
    <w:uiPriority w:val="5"/>
    <w:qFormat/>
    <w:rsid w:val="00487B53"/>
    <w:pPr>
      <w:numPr>
        <w:numId w:val="10"/>
      </w:numPr>
      <w:spacing w:before="100"/>
    </w:pPr>
  </w:style>
  <w:style w:type="paragraph" w:styleId="ListBullet">
    <w:name w:val="List Bullet"/>
    <w:basedOn w:val="Normal"/>
    <w:uiPriority w:val="99"/>
    <w:semiHidden/>
    <w:rsid w:val="00487B53"/>
    <w:pPr>
      <w:numPr>
        <w:numId w:val="9"/>
      </w:numPr>
      <w:contextualSpacing/>
    </w:pPr>
  </w:style>
  <w:style w:type="character" w:customStyle="1" w:styleId="Heading4Char">
    <w:name w:val="Heading 4 Char"/>
    <w:aliases w:val="AB Graphic Title / Heading 4 Char"/>
    <w:basedOn w:val="DefaultParagraphFont"/>
    <w:link w:val="Heading4"/>
    <w:uiPriority w:val="1"/>
    <w:rsid w:val="0021464A"/>
    <w:rPr>
      <w:rFonts w:eastAsiaTheme="majorEastAsia" w:cstheme="minorHAnsi"/>
      <w:b/>
      <w:iCs/>
      <w:sz w:val="22"/>
      <w:szCs w:val="22"/>
    </w:rPr>
  </w:style>
  <w:style w:type="paragraph" w:styleId="TOCHeading">
    <w:name w:val="TOC Heading"/>
    <w:basedOn w:val="Heading1"/>
    <w:next w:val="Normal"/>
    <w:uiPriority w:val="39"/>
    <w:semiHidden/>
    <w:qFormat/>
    <w:rsid w:val="00A95D97"/>
    <w:pPr>
      <w:suppressAutoHyphens w:val="0"/>
      <w:spacing w:after="0" w:line="259" w:lineRule="auto"/>
      <w:outlineLvl w:val="9"/>
    </w:pPr>
    <w:rPr>
      <w:color w:val="9CA4A6" w:themeColor="accent1" w:themeShade="BF"/>
      <w:sz w:val="32"/>
      <w:szCs w:val="32"/>
    </w:rPr>
  </w:style>
  <w:style w:type="character" w:customStyle="1" w:styleId="Heading5Char">
    <w:name w:val="Heading 5 Char"/>
    <w:aliases w:val="AB Graphic Subtitle Char"/>
    <w:basedOn w:val="DefaultParagraphFont"/>
    <w:link w:val="Heading5"/>
    <w:uiPriority w:val="2"/>
    <w:rsid w:val="0021464A"/>
    <w:rPr>
      <w:rFonts w:eastAsiaTheme="majorEastAsia" w:cstheme="minorHAnsi"/>
      <w:i/>
    </w:rPr>
  </w:style>
  <w:style w:type="character" w:customStyle="1" w:styleId="Heading6Char">
    <w:name w:val="Heading 6 Char"/>
    <w:aliases w:val="AB n&amp;p Values Char"/>
    <w:basedOn w:val="DefaultParagraphFont"/>
    <w:link w:val="Heading6"/>
    <w:uiPriority w:val="2"/>
    <w:rsid w:val="00FC085D"/>
    <w:rPr>
      <w:rFonts w:eastAsiaTheme="majorEastAsia" w:cstheme="majorBidi"/>
      <w:sz w:val="17"/>
      <w:szCs w:val="17"/>
    </w:rPr>
  </w:style>
  <w:style w:type="paragraph" w:styleId="TOC1">
    <w:name w:val="toc 1"/>
    <w:aliases w:val="AB TOC 1"/>
    <w:basedOn w:val="Normal"/>
    <w:next w:val="TOC2"/>
    <w:autoRedefine/>
    <w:uiPriority w:val="39"/>
    <w:rsid w:val="00D47F1D"/>
    <w:pPr>
      <w:tabs>
        <w:tab w:val="right" w:leader="dot" w:pos="10358"/>
      </w:tabs>
      <w:spacing w:before="300" w:after="160"/>
      <w:ind w:left="1440"/>
    </w:pPr>
    <w:rPr>
      <w:b/>
      <w:noProof/>
      <w:sz w:val="21"/>
      <w:szCs w:val="21"/>
    </w:rPr>
  </w:style>
  <w:style w:type="paragraph" w:styleId="TOC2">
    <w:name w:val="toc 2"/>
    <w:aliases w:val="AB TOC 2"/>
    <w:basedOn w:val="Normal"/>
    <w:next w:val="TOC3"/>
    <w:autoRedefine/>
    <w:uiPriority w:val="39"/>
    <w:rsid w:val="00D47F1D"/>
    <w:pPr>
      <w:tabs>
        <w:tab w:val="right" w:leader="dot" w:pos="10358"/>
      </w:tabs>
      <w:spacing w:before="100" w:after="100"/>
      <w:ind w:left="2160"/>
    </w:pPr>
    <w:rPr>
      <w:noProof/>
    </w:rPr>
  </w:style>
  <w:style w:type="paragraph" w:styleId="TOC3">
    <w:name w:val="toc 3"/>
    <w:aliases w:val="AB TOC 3"/>
    <w:basedOn w:val="Normal"/>
    <w:next w:val="TOC4"/>
    <w:autoRedefine/>
    <w:uiPriority w:val="39"/>
    <w:rsid w:val="00D47F1D"/>
    <w:pPr>
      <w:tabs>
        <w:tab w:val="right" w:leader="dot" w:pos="10358"/>
      </w:tabs>
      <w:spacing w:before="100" w:after="100"/>
      <w:ind w:left="2520"/>
    </w:pPr>
    <w:rPr>
      <w:noProof/>
    </w:rPr>
  </w:style>
  <w:style w:type="character" w:styleId="Hyperlink">
    <w:name w:val="Hyperlink"/>
    <w:aliases w:val="AB Hyperlink"/>
    <w:basedOn w:val="DefaultParagraphFont"/>
    <w:uiPriority w:val="99"/>
    <w:rsid w:val="00A95D97"/>
    <w:rPr>
      <w:color w:val="323E48" w:themeColor="hyperlink"/>
      <w:u w:val="single"/>
    </w:rPr>
  </w:style>
  <w:style w:type="paragraph" w:styleId="Caption">
    <w:name w:val="caption"/>
    <w:aliases w:val="AB Figure Caption"/>
    <w:basedOn w:val="Normal"/>
    <w:next w:val="ABSectionText"/>
    <w:uiPriority w:val="99"/>
    <w:qFormat/>
    <w:rsid w:val="00D47F1D"/>
    <w:pPr>
      <w:suppressAutoHyphens/>
      <w:spacing w:before="100" w:after="200"/>
      <w:ind w:left="2520"/>
    </w:pPr>
    <w:rPr>
      <w:iCs/>
      <w:sz w:val="14"/>
      <w:szCs w:val="14"/>
    </w:rPr>
  </w:style>
  <w:style w:type="paragraph" w:styleId="TOC4">
    <w:name w:val="toc 4"/>
    <w:basedOn w:val="Normal"/>
    <w:next w:val="Normal"/>
    <w:autoRedefine/>
    <w:uiPriority w:val="39"/>
    <w:semiHidden/>
    <w:rsid w:val="00A95D97"/>
    <w:pPr>
      <w:spacing w:after="100"/>
      <w:ind w:left="600"/>
    </w:pPr>
  </w:style>
  <w:style w:type="paragraph" w:styleId="TableofFigures">
    <w:name w:val="table of figures"/>
    <w:aliases w:val="AB Table of Figures"/>
    <w:basedOn w:val="Normal"/>
    <w:next w:val="Normal"/>
    <w:uiPriority w:val="99"/>
    <w:rsid w:val="00D47F1D"/>
    <w:pPr>
      <w:tabs>
        <w:tab w:val="right" w:leader="dot" w:pos="10354"/>
      </w:tabs>
      <w:spacing w:before="160" w:after="100"/>
      <w:ind w:left="1440"/>
    </w:pPr>
  </w:style>
  <w:style w:type="paragraph" w:customStyle="1" w:styleId="ABGraphicTableText">
    <w:name w:val="AB Graphic/Table Text"/>
    <w:basedOn w:val="BodyText"/>
    <w:uiPriority w:val="9"/>
    <w:qFormat/>
    <w:rsid w:val="00793E36"/>
    <w:pPr>
      <w:suppressAutoHyphens/>
      <w:spacing w:before="60" w:after="60"/>
    </w:pPr>
    <w:rPr>
      <w:sz w:val="18"/>
      <w:szCs w:val="18"/>
    </w:rPr>
  </w:style>
  <w:style w:type="paragraph" w:customStyle="1" w:styleId="ABGraphicTableBullets">
    <w:name w:val="AB Graphic/Table Bullets"/>
    <w:basedOn w:val="ListBullet"/>
    <w:uiPriority w:val="10"/>
    <w:qFormat/>
    <w:rsid w:val="00BB1529"/>
    <w:pPr>
      <w:numPr>
        <w:numId w:val="11"/>
      </w:numPr>
      <w:spacing w:before="60" w:after="60"/>
      <w:contextualSpacing w:val="0"/>
    </w:pPr>
    <w:rPr>
      <w:sz w:val="18"/>
    </w:rPr>
  </w:style>
  <w:style w:type="paragraph" w:styleId="BodyText2">
    <w:name w:val="Body Text 2"/>
    <w:basedOn w:val="Normal"/>
    <w:link w:val="BodyText2Char"/>
    <w:uiPriority w:val="99"/>
    <w:semiHidden/>
    <w:rsid w:val="00793E36"/>
    <w:pPr>
      <w:spacing w:after="120" w:line="480" w:lineRule="auto"/>
    </w:pPr>
  </w:style>
  <w:style w:type="character" w:customStyle="1" w:styleId="BodyText2Char">
    <w:name w:val="Body Text 2 Char"/>
    <w:basedOn w:val="DefaultParagraphFont"/>
    <w:link w:val="BodyText2"/>
    <w:uiPriority w:val="99"/>
    <w:semiHidden/>
    <w:rsid w:val="00167E29"/>
  </w:style>
  <w:style w:type="paragraph" w:customStyle="1" w:styleId="ABTableRowHeader">
    <w:name w:val="AB Table Row Header"/>
    <w:basedOn w:val="BodyText"/>
    <w:uiPriority w:val="12"/>
    <w:qFormat/>
    <w:rsid w:val="00BB1529"/>
    <w:pPr>
      <w:suppressAutoHyphens/>
      <w:spacing w:before="60" w:after="60"/>
    </w:pPr>
    <w:rPr>
      <w:b/>
      <w:sz w:val="18"/>
    </w:rPr>
  </w:style>
  <w:style w:type="paragraph" w:customStyle="1" w:styleId="ABTableColumnHeader">
    <w:name w:val="AB Table Column Header"/>
    <w:basedOn w:val="BodyText"/>
    <w:uiPriority w:val="11"/>
    <w:qFormat/>
    <w:rsid w:val="006A3B1F"/>
    <w:pPr>
      <w:suppressAutoHyphens/>
      <w:spacing w:before="60" w:after="60"/>
    </w:pPr>
    <w:rPr>
      <w:sz w:val="18"/>
    </w:rPr>
  </w:style>
  <w:style w:type="paragraph" w:styleId="FootnoteText">
    <w:name w:val="footnote text"/>
    <w:aliases w:val="AB Footnote"/>
    <w:basedOn w:val="Normal"/>
    <w:link w:val="FootnoteTextChar"/>
    <w:uiPriority w:val="99"/>
    <w:rsid w:val="006A3B1F"/>
    <w:pPr>
      <w:numPr>
        <w:numId w:val="12"/>
      </w:numPr>
      <w:spacing w:before="20"/>
      <w:ind w:left="180" w:hanging="180"/>
    </w:pPr>
    <w:rPr>
      <w:sz w:val="10"/>
      <w:szCs w:val="10"/>
    </w:rPr>
  </w:style>
  <w:style w:type="character" w:customStyle="1" w:styleId="FootnoteTextChar">
    <w:name w:val="Footnote Text Char"/>
    <w:aliases w:val="AB Footnote Char"/>
    <w:basedOn w:val="DefaultParagraphFont"/>
    <w:link w:val="FootnoteText"/>
    <w:uiPriority w:val="99"/>
    <w:rsid w:val="006A3B1F"/>
    <w:rPr>
      <w:sz w:val="10"/>
      <w:szCs w:val="10"/>
    </w:rPr>
  </w:style>
  <w:style w:type="character" w:styleId="FootnoteReference">
    <w:name w:val="footnote reference"/>
    <w:basedOn w:val="DefaultParagraphFont"/>
    <w:uiPriority w:val="99"/>
    <w:semiHidden/>
    <w:rsid w:val="00BB1529"/>
    <w:rPr>
      <w:vertAlign w:val="superscript"/>
    </w:rPr>
  </w:style>
  <w:style w:type="paragraph" w:customStyle="1" w:styleId="ABAdvisorName">
    <w:name w:val="AB Advisor Name"/>
    <w:basedOn w:val="ABNormal"/>
    <w:next w:val="ABAdvisorInstitution"/>
    <w:uiPriority w:val="99"/>
    <w:qFormat/>
    <w:rsid w:val="00D47F1D"/>
    <w:rPr>
      <w:rFonts w:ascii="Times New Roman" w:hAnsi="Times New Roman"/>
      <w:b/>
      <w:sz w:val="22"/>
    </w:rPr>
  </w:style>
  <w:style w:type="paragraph" w:customStyle="1" w:styleId="ABAdvisorInstitution">
    <w:name w:val="AB Advisor Institution"/>
    <w:basedOn w:val="ABNormal"/>
    <w:next w:val="ABAdvisorCityState"/>
    <w:uiPriority w:val="99"/>
    <w:qFormat/>
    <w:rsid w:val="00DF4251"/>
    <w:rPr>
      <w:i/>
      <w:color w:val="70787E" w:themeColor="accent3"/>
      <w:sz w:val="18"/>
      <w:szCs w:val="18"/>
    </w:rPr>
  </w:style>
  <w:style w:type="paragraph" w:customStyle="1" w:styleId="ABAdvisorCityState">
    <w:name w:val="AB Advisor City/State"/>
    <w:basedOn w:val="ABNormal"/>
    <w:next w:val="ABAdvisorName"/>
    <w:uiPriority w:val="99"/>
    <w:qFormat/>
    <w:rsid w:val="00DF4251"/>
    <w:pPr>
      <w:spacing w:after="240"/>
    </w:pPr>
    <w:rPr>
      <w:sz w:val="18"/>
      <w:szCs w:val="18"/>
    </w:rPr>
  </w:style>
  <w:style w:type="paragraph" w:styleId="NormalWeb">
    <w:name w:val="Normal (Web)"/>
    <w:basedOn w:val="Normal"/>
    <w:uiPriority w:val="99"/>
    <w:semiHidden/>
    <w:unhideWhenUsed/>
    <w:rsid w:val="004913E9"/>
    <w:pPr>
      <w:spacing w:before="100" w:beforeAutospacing="1" w:after="100" w:afterAutospacing="1"/>
    </w:pPr>
    <w:rPr>
      <w:rFonts w:ascii="Times New Roman" w:eastAsiaTheme="minorEastAsia" w:hAnsi="Times New Roman" w:cs="Times New Roman"/>
      <w:color w:val="auto"/>
      <w:sz w:val="24"/>
      <w:szCs w:val="24"/>
    </w:rPr>
  </w:style>
  <w:style w:type="table" w:styleId="TableGridLight">
    <w:name w:val="Grid Table Light"/>
    <w:basedOn w:val="TableNormal"/>
    <w:uiPriority w:val="40"/>
    <w:rsid w:val="000517DE"/>
    <w:pPr>
      <w:spacing w:before="10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ListTable6Colorful-Accent3">
    <w:name w:val="List Table 6 Colorful Accent 3"/>
    <w:basedOn w:val="TableNormal"/>
    <w:uiPriority w:val="51"/>
    <w:rsid w:val="006A3B1F"/>
    <w:rPr>
      <w:sz w:val="18"/>
    </w:rPr>
    <w:tblPr>
      <w:tblStyleRowBandSize w:val="1"/>
      <w:tblStyleColBandSize w:val="1"/>
      <w:tblInd w:w="0" w:type="nil"/>
      <w:tblBorders>
        <w:top w:val="single" w:sz="4" w:space="0" w:color="70787E" w:themeColor="accent3"/>
        <w:bottom w:val="single" w:sz="4" w:space="0" w:color="70787E" w:themeColor="accent3"/>
      </w:tblBorders>
      <w:tblCellMar>
        <w:top w:w="72" w:type="dxa"/>
        <w:left w:w="144" w:type="dxa"/>
        <w:bottom w:w="72" w:type="dxa"/>
        <w:right w:w="144" w:type="dxa"/>
      </w:tblCellMar>
    </w:tblPr>
    <w:tblStylePr w:type="firstRow">
      <w:rPr>
        <w:b/>
        <w:bCs/>
      </w:rPr>
      <w:tblPr/>
      <w:tcPr>
        <w:tcBorders>
          <w:top w:val="single" w:sz="4" w:space="0" w:color="70787E" w:themeColor="accent3"/>
          <w:bottom w:val="single" w:sz="4" w:space="0" w:color="70787E" w:themeColor="accent3"/>
        </w:tcBorders>
      </w:tcPr>
    </w:tblStylePr>
    <w:tblStylePr w:type="lastRow">
      <w:rPr>
        <w:b/>
        <w:bCs/>
      </w:rPr>
      <w:tblPr/>
      <w:tcPr>
        <w:tcBorders>
          <w:top w:val="single" w:sz="4" w:space="0" w:color="70787E" w:themeColor="accent3"/>
        </w:tcBorders>
      </w:tcPr>
    </w:tblStylePr>
    <w:tblStylePr w:type="firstCol">
      <w:rPr>
        <w:b w:val="0"/>
        <w:bCs/>
      </w:rPr>
    </w:tblStylePr>
    <w:tblStylePr w:type="lastCol">
      <w:rPr>
        <w:b/>
        <w:bCs/>
      </w:rPr>
    </w:tblStylePr>
    <w:tblStylePr w:type="band1Vert">
      <w:tblPr/>
      <w:tcPr>
        <w:shd w:val="clear" w:color="auto" w:fill="E2E3E5" w:themeFill="accent3" w:themeFillTint="33"/>
      </w:tcPr>
    </w:tblStylePr>
    <w:tblStylePr w:type="band2Vert">
      <w:tblPr/>
      <w:tcPr>
        <w:shd w:val="clear" w:color="auto" w:fill="FFFFFF" w:themeFill="text2"/>
      </w:tcPr>
    </w:tblStylePr>
    <w:tblStylePr w:type="band1Horz">
      <w:tblPr/>
      <w:tcPr>
        <w:shd w:val="clear" w:color="auto" w:fill="E2E3E5" w:themeFill="accent3" w:themeFillTint="33"/>
      </w:tcPr>
    </w:tblStylePr>
    <w:tblStylePr w:type="band2Horz">
      <w:tblPr/>
      <w:tcPr>
        <w:shd w:val="clear" w:color="auto" w:fill="FFFFFF" w:themeFill="text2"/>
      </w:tcPr>
    </w:tblStylePr>
  </w:style>
  <w:style w:type="character" w:styleId="UnresolvedMention">
    <w:name w:val="Unresolved Mention"/>
    <w:basedOn w:val="DefaultParagraphFont"/>
    <w:uiPriority w:val="99"/>
    <w:semiHidden/>
    <w:unhideWhenUsed/>
    <w:rsid w:val="004A7B2B"/>
    <w:rPr>
      <w:color w:val="605E5C"/>
      <w:shd w:val="clear" w:color="auto" w:fill="E1DFDD"/>
    </w:rPr>
  </w:style>
  <w:style w:type="paragraph" w:styleId="ListParagraph">
    <w:name w:val="List Paragraph"/>
    <w:basedOn w:val="Normal"/>
    <w:uiPriority w:val="34"/>
    <w:qFormat/>
    <w:rsid w:val="00C04645"/>
    <w:pPr>
      <w:suppressAutoHyphens/>
      <w:ind w:left="720"/>
      <w:contextualSpacing/>
    </w:pPr>
    <w:rPr>
      <w:rFonts w:cstheme="minorHAnsi"/>
    </w:rPr>
  </w:style>
  <w:style w:type="paragraph" w:styleId="EndnoteText">
    <w:name w:val="endnote text"/>
    <w:basedOn w:val="Normal"/>
    <w:link w:val="EndnoteTextChar"/>
    <w:uiPriority w:val="99"/>
    <w:semiHidden/>
    <w:rsid w:val="001558D3"/>
  </w:style>
  <w:style w:type="character" w:customStyle="1" w:styleId="EndnoteTextChar">
    <w:name w:val="Endnote Text Char"/>
    <w:basedOn w:val="DefaultParagraphFont"/>
    <w:link w:val="EndnoteText"/>
    <w:uiPriority w:val="99"/>
    <w:semiHidden/>
    <w:rsid w:val="001558D3"/>
  </w:style>
  <w:style w:type="character" w:styleId="EndnoteReference">
    <w:name w:val="endnote reference"/>
    <w:basedOn w:val="DefaultParagraphFont"/>
    <w:uiPriority w:val="99"/>
    <w:semiHidden/>
    <w:rsid w:val="001558D3"/>
    <w:rPr>
      <w:vertAlign w:val="superscript"/>
    </w:rPr>
  </w:style>
  <w:style w:type="character" w:styleId="CommentReference">
    <w:name w:val="annotation reference"/>
    <w:basedOn w:val="DefaultParagraphFont"/>
    <w:uiPriority w:val="99"/>
    <w:semiHidden/>
    <w:rsid w:val="00455096"/>
    <w:rPr>
      <w:sz w:val="16"/>
      <w:szCs w:val="16"/>
    </w:rPr>
  </w:style>
  <w:style w:type="paragraph" w:styleId="CommentText">
    <w:name w:val="annotation text"/>
    <w:basedOn w:val="Normal"/>
    <w:link w:val="CommentTextChar"/>
    <w:uiPriority w:val="99"/>
    <w:semiHidden/>
    <w:rsid w:val="00455096"/>
  </w:style>
  <w:style w:type="character" w:customStyle="1" w:styleId="CommentTextChar">
    <w:name w:val="Comment Text Char"/>
    <w:basedOn w:val="DefaultParagraphFont"/>
    <w:link w:val="CommentText"/>
    <w:uiPriority w:val="99"/>
    <w:semiHidden/>
    <w:rsid w:val="00455096"/>
  </w:style>
  <w:style w:type="paragraph" w:styleId="CommentSubject">
    <w:name w:val="annotation subject"/>
    <w:basedOn w:val="CommentText"/>
    <w:next w:val="CommentText"/>
    <w:link w:val="CommentSubjectChar"/>
    <w:uiPriority w:val="99"/>
    <w:semiHidden/>
    <w:unhideWhenUsed/>
    <w:rsid w:val="00455096"/>
    <w:rPr>
      <w:b/>
      <w:bCs/>
    </w:rPr>
  </w:style>
  <w:style w:type="character" w:customStyle="1" w:styleId="CommentSubjectChar">
    <w:name w:val="Comment Subject Char"/>
    <w:basedOn w:val="CommentTextChar"/>
    <w:link w:val="CommentSubject"/>
    <w:uiPriority w:val="99"/>
    <w:semiHidden/>
    <w:rsid w:val="00455096"/>
    <w:rPr>
      <w:b/>
      <w:bCs/>
    </w:rPr>
  </w:style>
  <w:style w:type="character" w:styleId="Mention">
    <w:name w:val="Mention"/>
    <w:basedOn w:val="DefaultParagraphFont"/>
    <w:uiPriority w:val="99"/>
    <w:unhideWhenUsed/>
    <w:rsid w:val="00ED79FA"/>
    <w:rPr>
      <w:color w:val="2B579A"/>
      <w:shd w:val="clear" w:color="auto" w:fill="E1DFDD"/>
    </w:rPr>
  </w:style>
  <w:style w:type="paragraph" w:styleId="Revision">
    <w:name w:val="Revision"/>
    <w:hidden/>
    <w:uiPriority w:val="99"/>
    <w:semiHidden/>
    <w:rsid w:val="00DF79CA"/>
  </w:style>
  <w:style w:type="character" w:styleId="FollowedHyperlink">
    <w:name w:val="FollowedHyperlink"/>
    <w:basedOn w:val="DefaultParagraphFont"/>
    <w:uiPriority w:val="99"/>
    <w:semiHidden/>
    <w:rsid w:val="00406490"/>
    <w:rPr>
      <w:color w:val="757576"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8355444">
      <w:bodyDiv w:val="1"/>
      <w:marLeft w:val="0"/>
      <w:marRight w:val="0"/>
      <w:marTop w:val="0"/>
      <w:marBottom w:val="0"/>
      <w:divBdr>
        <w:top w:val="none" w:sz="0" w:space="0" w:color="auto"/>
        <w:left w:val="none" w:sz="0" w:space="0" w:color="auto"/>
        <w:bottom w:val="none" w:sz="0" w:space="0" w:color="auto"/>
        <w:right w:val="none" w:sz="0" w:space="0" w:color="auto"/>
      </w:divBdr>
    </w:div>
    <w:div w:id="1051153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hyperlink" Target="https://hcp-lan.org/wp-content/uploads/2025/08/APM-Framework-White-Paper.pdf" TargetMode="External"/><Relationship Id="rId2" Type="http://schemas.openxmlformats.org/officeDocument/2006/relationships/customXml" Target="../customXml/item2.xml"/><Relationship Id="rId16" Type="http://schemas.openxmlformats.org/officeDocument/2006/relationships/hyperlink" Target="https://shvs.org/resource/categorizing-value-based-payment-models-according-to-the-lan-alternative-payment-model-framework-examples-of-payment-models-by-category/"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ahiporg-production.s3.amazonaws.com/documents/2025_APM-Methodology_Report.pdf"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footer1.xml.rels><?xml version="1.0" encoding="UTF-8" standalone="yes"?>
<Relationships xmlns="http://schemas.openxmlformats.org/package/2006/relationships"><Relationship Id="rId1" Type="http://schemas.openxmlformats.org/officeDocument/2006/relationships/hyperlink" Target="http://www.advisory.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fierke1\Documents\Custom%20Office%20Templates\ab%20glg%2020250101.dotx" TargetMode="External"/></Relationships>
</file>

<file path=word/theme/theme1.xml><?xml version="1.0" encoding="utf-8"?>
<a:theme xmlns:a="http://schemas.openxmlformats.org/drawingml/2006/main" name="Office Theme">
  <a:themeElements>
    <a:clrScheme name="Advisory Board 2020 Theme">
      <a:dk1>
        <a:srgbClr val="323E48"/>
      </a:dk1>
      <a:lt1>
        <a:srgbClr val="FFFFFF"/>
      </a:lt1>
      <a:dk2>
        <a:srgbClr val="FFFFFF"/>
      </a:dk2>
      <a:lt2>
        <a:srgbClr val="E5E5E5"/>
      </a:lt2>
      <a:accent1>
        <a:srgbClr val="D6D9DA"/>
      </a:accent1>
      <a:accent2>
        <a:srgbClr val="999FA3"/>
      </a:accent2>
      <a:accent3>
        <a:srgbClr val="70787E"/>
      </a:accent3>
      <a:accent4>
        <a:srgbClr val="445460"/>
      </a:accent4>
      <a:accent5>
        <a:srgbClr val="222A30"/>
      </a:accent5>
      <a:accent6>
        <a:srgbClr val="CE0E2D"/>
      </a:accent6>
      <a:hlink>
        <a:srgbClr val="323E48"/>
      </a:hlink>
      <a:folHlink>
        <a:srgbClr val="757576"/>
      </a:folHlink>
    </a:clrScheme>
    <a:fontScheme name="Times New Roman-Arial">
      <a:maj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B0604020202020204"/>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w="19050">
          <a:solidFill>
            <a:schemeClr val="accent1"/>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lnDef>
      <a:spPr>
        <a:ln w="12700">
          <a:solidFill>
            <a:schemeClr val="accent2"/>
          </a:solidFill>
        </a:ln>
      </a:spPr>
      <a:bodyPr/>
      <a:lstStyle/>
      <a:style>
        <a:lnRef idx="1">
          <a:schemeClr val="accent1"/>
        </a:lnRef>
        <a:fillRef idx="0">
          <a:schemeClr val="accent1"/>
        </a:fillRef>
        <a:effectRef idx="0">
          <a:schemeClr val="accent1"/>
        </a:effectRef>
        <a:fontRef idx="minor">
          <a:schemeClr val="tx1"/>
        </a:fontRef>
      </a:style>
    </a:ln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custClrLst>
    <a:custClr name="Data Viz 1">
      <a:srgbClr val="D6D9DA"/>
    </a:custClr>
    <a:custClr name="Data Viz 2">
      <a:srgbClr val="7C99AE"/>
    </a:custClr>
    <a:custClr name="Data Viz 3">
      <a:srgbClr val="667E90"/>
    </a:custClr>
    <a:custClr name="Data Viz 4">
      <a:srgbClr val="445460"/>
    </a:custClr>
    <a:custClr name="Data Viz 5">
      <a:srgbClr val="222A30"/>
    </a:custClr>
    <a:custClr name="Unused">
      <a:srgbClr val="FFFFFF"/>
    </a:custClr>
    <a:custClr name="Unused">
      <a:srgbClr val="FFFFFF"/>
    </a:custClr>
    <a:custClr name="Green Success">
      <a:srgbClr val="007000"/>
    </a:custClr>
    <a:custClr name="Gold Callout">
      <a:srgbClr val="F5B700"/>
    </a:custClr>
    <a:custClr name="Red Alert">
      <a:srgbClr val="C40000"/>
    </a:custClr>
    <a:custClr name="Unused">
      <a:srgbClr val="FFFFFF"/>
    </a:custClr>
    <a:custClr name="Unused">
      <a:srgbClr val="FFFFFF"/>
    </a:custClr>
    <a:custClr name="Unused">
      <a:srgbClr val="FFFFFF"/>
    </a:custClr>
    <a:custClr name="Unused">
      <a:srgbClr val="FFFFFF"/>
    </a:custClr>
    <a:custClr name="Unused">
      <a:srgbClr val="FFFFFF"/>
    </a:custClr>
    <a:custClr name="Unused">
      <a:srgbClr val="FFFFFF"/>
    </a:custClr>
    <a:custClr name="Unused">
      <a:srgbClr val="FFFFFF"/>
    </a:custClr>
    <a:custClr name="Unused">
      <a:srgbClr val="FFFFFF"/>
    </a:custClr>
    <a:custClr name="Unused">
      <a:srgbClr val="FFFFFF"/>
    </a:custClr>
    <a:custClr name="Action Teal">
      <a:srgbClr val="B4FBF6"/>
    </a:custClr>
    <a:custClr name="Teal">
      <a:srgbClr val="00AEA1"/>
    </a:custClr>
    <a:custClr name="Blue">
      <a:srgbClr val="0071BB"/>
    </a:custClr>
    <a:custClr name="Green">
      <a:srgbClr val="00A253"/>
    </a:custClr>
    <a:custClr name="Purple">
      <a:srgbClr val="5736F7"/>
    </a:custClr>
    <a:custClr name="Orange">
      <a:srgbClr val="FC5027"/>
    </a:custClr>
    <a:custClr name="Unused">
      <a:srgbClr val="FFFFFF"/>
    </a:custClr>
    <a:custClr name="Unused">
      <a:srgbClr val="FFFFFF"/>
    </a:custClr>
    <a:custClr name="Unused">
      <a:srgbClr val="FFFFFF"/>
    </a:custClr>
    <a:custClr name="Unused">
      <a:srgbClr val="FFFFFF"/>
    </a:custClr>
    <a:custClr name="Unused">
      <a:srgbClr val="FFFFFF"/>
    </a:custClr>
    <a:custClr name="Teal Tint">
      <a:srgbClr val="6DF1E7"/>
    </a:custClr>
    <a:custClr name="Blue Tint">
      <a:srgbClr val="64BAF3"/>
    </a:custClr>
    <a:custClr name="Green Tint">
      <a:srgbClr val="5CFFAF"/>
    </a:custClr>
    <a:custClr name="Purple Tint">
      <a:srgbClr val="9999FC"/>
    </a:custClr>
    <a:custClr name="Orange Tint">
      <a:srgbClr val="FFAE9B"/>
    </a:custClr>
    <a:custClr name="Unused">
      <a:srgbClr val="FFFFFF"/>
    </a:custClr>
    <a:custClr name="Unused">
      <a:srgbClr val="FFFFFF"/>
    </a:custClr>
    <a:custClr name="Unused">
      <a:srgbClr val="FFFFFF"/>
    </a:custClr>
    <a:custClr name="Unused">
      <a:srgbClr val="FFFFFF"/>
    </a:custClr>
    <a:custClr name="Unused">
      <a:srgbClr val="FFFFFF"/>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0a105d2-9309-4a27-a641-7e2ea2abacf8" xsi:nil="true"/>
    <lcf76f155ced4ddcb4097134ff3c332f xmlns="ae84356a-f88a-433a-89bf-b0d5500490ca">
      <Terms xmlns="http://schemas.microsoft.com/office/infopath/2007/PartnerControls"/>
    </lcf76f155ced4ddcb4097134ff3c332f>
    <KyleChongWarnerRoberts xmlns="ae84356a-f88a-433a-89bf-b0d5500490ca">
      <UserInfo>
        <DisplayName/>
        <AccountId xsi:nil="true"/>
        <AccountType/>
      </UserInfo>
    </KyleChongWarnerRoberts>
    <Date xmlns="ae84356a-f88a-433a-89bf-b0d5500490ca">2026-05-27T20:30:10+00:00</Dat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C960A2A615D8E4FB65873584B2ED78E" ma:contentTypeVersion="19" ma:contentTypeDescription="Create a new document." ma:contentTypeScope="" ma:versionID="4839953597817a1e84733856f4fb61a9">
  <xsd:schema xmlns:xsd="http://www.w3.org/2001/XMLSchema" xmlns:xs="http://www.w3.org/2001/XMLSchema" xmlns:p="http://schemas.microsoft.com/office/2006/metadata/properties" xmlns:ns2="ae84356a-f88a-433a-89bf-b0d5500490ca" xmlns:ns3="c0a105d2-9309-4a27-a641-7e2ea2abacf8" targetNamespace="http://schemas.microsoft.com/office/2006/metadata/properties" ma:root="true" ma:fieldsID="83a784a9db3a4ab5c6f62b6df3974a83" ns2:_="" ns3:_="">
    <xsd:import namespace="ae84356a-f88a-433a-89bf-b0d5500490ca"/>
    <xsd:import namespace="c0a105d2-9309-4a27-a641-7e2ea2abacf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Date" minOccurs="0"/>
                <xsd:element ref="ns2:KyleChongWarnerRober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84356a-f88a-433a-89bf-b0d5500490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a6b2b66-40d8-4e06-8a39-adc3ecd4519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Date" ma:index="25" nillable="true" ma:displayName="Date" ma:default="[today]" ma:format="DateOnly" ma:internalName="Date">
      <xsd:simpleType>
        <xsd:restriction base="dms:DateTime"/>
      </xsd:simpleType>
    </xsd:element>
    <xsd:element name="KyleChongWarnerRoberts" ma:index="26" nillable="true" ma:displayName="Team  Members" ma:format="Dropdown" ma:list="UserInfo" ma:SharePointGroup="0" ma:internalName="KyleChongWarnerRobert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0a105d2-9309-4a27-a641-7e2ea2abacf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985b4a2-4764-4c86-a049-5b98738c9e75}" ma:internalName="TaxCatchAll" ma:showField="CatchAllData" ma:web="c0a105d2-9309-4a27-a641-7e2ea2abacf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A9F933-764F-4582-9F27-73F54945722A}">
  <ds:schemaRefs>
    <ds:schemaRef ds:uri="http://schemas.openxmlformats.org/officeDocument/2006/bibliography"/>
  </ds:schemaRefs>
</ds:datastoreItem>
</file>

<file path=customXml/itemProps2.xml><?xml version="1.0" encoding="utf-8"?>
<ds:datastoreItem xmlns:ds="http://schemas.openxmlformats.org/officeDocument/2006/customXml" ds:itemID="{ECEE7F41-33C5-4DF8-8805-CF49F51DD8DE}">
  <ds:schemaRefs>
    <ds:schemaRef ds:uri="http://schemas.microsoft.com/sharepoint/v3/contenttype/forms"/>
  </ds:schemaRefs>
</ds:datastoreItem>
</file>

<file path=customXml/itemProps3.xml><?xml version="1.0" encoding="utf-8"?>
<ds:datastoreItem xmlns:ds="http://schemas.openxmlformats.org/officeDocument/2006/customXml" ds:itemID="{9AB4234C-CC67-4F71-9B73-1B6FA0DF0B08}">
  <ds:schemaRefs>
    <ds:schemaRef ds:uri="http://schemas.microsoft.com/office/2006/metadata/properties"/>
    <ds:schemaRef ds:uri="http://schemas.microsoft.com/office/infopath/2007/PartnerControls"/>
    <ds:schemaRef ds:uri="c0a105d2-9309-4a27-a641-7e2ea2abacf8"/>
    <ds:schemaRef ds:uri="ae84356a-f88a-433a-89bf-b0d5500490ca"/>
  </ds:schemaRefs>
</ds:datastoreItem>
</file>

<file path=customXml/itemProps4.xml><?xml version="1.0" encoding="utf-8"?>
<ds:datastoreItem xmlns:ds="http://schemas.openxmlformats.org/officeDocument/2006/customXml" ds:itemID="{A698D370-2A63-423B-BDC9-A6241337E3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84356a-f88a-433a-89bf-b0d5500490ca"/>
    <ds:schemaRef ds:uri="c0a105d2-9309-4a27-a641-7e2ea2abac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b05faca-c82a-4b9d-b9c5-0f64b6755421}" enabled="0" method="" siteId="{db05faca-c82a-4b9d-b9c5-0f64b6755421}" removed="1"/>
</clbl:labelList>
</file>

<file path=docProps/app.xml><?xml version="1.0" encoding="utf-8"?>
<Properties xmlns="http://schemas.openxmlformats.org/officeDocument/2006/extended-properties" xmlns:vt="http://schemas.openxmlformats.org/officeDocument/2006/docPropsVTypes">
  <Template>ab glg 20250101</Template>
  <TotalTime>0</TotalTime>
  <Pages>7</Pages>
  <Words>2085</Words>
  <Characters>11432</Characters>
  <Application>Microsoft Office Word</Application>
  <DocSecurity>0</DocSecurity>
  <Lines>293</Lines>
  <Paragraphs>204</Paragraphs>
  <ScaleCrop>false</ScaleCrop>
  <HeadingPairs>
    <vt:vector size="2" baseType="variant">
      <vt:variant>
        <vt:lpstr>Title</vt:lpstr>
      </vt:variant>
      <vt:variant>
        <vt:i4>1</vt:i4>
      </vt:variant>
    </vt:vector>
  </HeadingPairs>
  <TitlesOfParts>
    <vt:vector size="1" baseType="lpstr">
      <vt:lpstr>Tool 15: Sustainable community-informed healthcare</vt:lpstr>
    </vt:vector>
  </TitlesOfParts>
  <Manager/>
  <Company/>
  <LinksUpToDate>false</LinksUpToDate>
  <CharactersWithSpaces>13313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Tool 15: Sustainable community-informed healthcare</dc:title>
  <dc:subject/>
  <dc:creator>Fierke, Jennifer</dc:creator>
  <cp:keywords/>
  <dc:description/>
  <cp:lastModifiedBy>Adams, Alison</cp:lastModifiedBy>
  <cp:revision>2</cp:revision>
  <dcterms:created xsi:type="dcterms:W3CDTF">2026-11-03T21:16:00Z</dcterms:created>
  <dcterms:modified xsi:type="dcterms:W3CDTF">2026-11-03T21:16:00Z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8a73c85-e524-44a6-bd58-7df7ef87be8f_Enabled">
    <vt:lpwstr>true</vt:lpwstr>
  </property>
  <property fmtid="{D5CDD505-2E9C-101B-9397-08002B2CF9AE}" pid="3" name="MSIP_Label_a8a73c85-e524-44a6-bd58-7df7ef87be8f_SetDate">
    <vt:lpwstr>2022-12-12T18:37:08Z</vt:lpwstr>
  </property>
  <property fmtid="{D5CDD505-2E9C-101B-9397-08002B2CF9AE}" pid="4" name="MSIP_Label_a8a73c85-e524-44a6-bd58-7df7ef87be8f_Method">
    <vt:lpwstr>Privileged</vt:lpwstr>
  </property>
  <property fmtid="{D5CDD505-2E9C-101B-9397-08002B2CF9AE}" pid="5" name="MSIP_Label_a8a73c85-e524-44a6-bd58-7df7ef87be8f_Name">
    <vt:lpwstr>Internal Label</vt:lpwstr>
  </property>
  <property fmtid="{D5CDD505-2E9C-101B-9397-08002B2CF9AE}" pid="6" name="MSIP_Label_a8a73c85-e524-44a6-bd58-7df7ef87be8f_SiteId">
    <vt:lpwstr>db05faca-c82a-4b9d-b9c5-0f64b6755421</vt:lpwstr>
  </property>
  <property fmtid="{D5CDD505-2E9C-101B-9397-08002B2CF9AE}" pid="7" name="MSIP_Label_a8a73c85-e524-44a6-bd58-7df7ef87be8f_ActionId">
    <vt:lpwstr>f1fd9792-0dca-46a8-9af1-445c99b85d46</vt:lpwstr>
  </property>
  <property fmtid="{D5CDD505-2E9C-101B-9397-08002B2CF9AE}" pid="8" name="MSIP_Label_a8a73c85-e524-44a6-bd58-7df7ef87be8f_ContentBits">
    <vt:lpwstr>0</vt:lpwstr>
  </property>
  <property fmtid="{D5CDD505-2E9C-101B-9397-08002B2CF9AE}" pid="9" name="ContentTypeId">
    <vt:lpwstr>0x0101006C960A2A615D8E4FB65873584B2ED78E</vt:lpwstr>
  </property>
  <property fmtid="{D5CDD505-2E9C-101B-9397-08002B2CF9AE}" pid="10" name="MediaServiceImageTags">
    <vt:lpwstr/>
  </property>
  <property fmtid="{D5CDD505-2E9C-101B-9397-08002B2CF9AE}" pid="11" name="docLang">
    <vt:lpwstr>en</vt:lpwstr>
  </property>
  <property fmtid="{D5CDD505-2E9C-101B-9397-08002B2CF9AE}" pid="12" name="Order">
    <vt:r8>7800</vt:r8>
  </property>
  <property fmtid="{D5CDD505-2E9C-101B-9397-08002B2CF9AE}" pid="13" name="xd_Signature">
    <vt:bool>false</vt:bool>
  </property>
  <property fmtid="{D5CDD505-2E9C-101B-9397-08002B2CF9AE}" pid="14" name="xd_ProgID">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ies>
</file>